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21D9ED15" w:rsidR="00A06BC1" w:rsidRDefault="00030A49"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60288" behindDoc="0" locked="0" layoutInCell="1" allowOverlap="1" wp14:anchorId="5EDE290B" wp14:editId="31988AF0">
                <wp:simplePos x="0" y="0"/>
                <wp:positionH relativeFrom="column">
                  <wp:posOffset>-215900</wp:posOffset>
                </wp:positionH>
                <wp:positionV relativeFrom="paragraph">
                  <wp:posOffset>123039</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9.7pt" to="496.8pt,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" strokecolor="#73a238"/>
            </w:pict>
          </mc:Fallback>
        </mc:AlternateContent>
      </w:r>
      <w:r w:rsidR="00DD6B23" w:rsidRPr="00030A49">
        <w:rPr>
          <w:noProof/>
          <w:sz w:val="36"/>
          <w:szCs w:val="36"/>
        </w:rPr>
        <mc:AlternateContent>
          <mc:Choice Requires="wps">
            <w:drawing>
              <wp:anchor distT="0" distB="0" distL="114300" distR="114300" simplePos="0" relativeHeight="251659264" behindDoc="0" locked="0" layoutInCell="1" allowOverlap="1" wp14:anchorId="1B2C8C62" wp14:editId="4416EC95">
                <wp:simplePos x="0" y="0"/>
                <wp:positionH relativeFrom="column">
                  <wp:posOffset>378460</wp:posOffset>
                </wp:positionH>
                <wp:positionV relativeFrom="paragraph">
                  <wp:posOffset>-516048</wp:posOffset>
                </wp:positionV>
                <wp:extent cx="0" cy="9573689"/>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689"/>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40.6pt" to="29.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" strokecolor="#73a238" strokeweight="3pt">
                <v:shadow on="t" opacity="22937f" mv:blur="40000f" origin=",.5" offset="0,23000emu"/>
              </v:line>
            </w:pict>
          </mc:Fallback>
        </mc:AlternateContent>
      </w:r>
      <w:r w:rsidRPr="00030A49">
        <w:rPr>
          <w:rFonts w:ascii="Libre Franklin" w:hAnsi="Libre Franklin"/>
          <w:sz w:val="36"/>
          <w:szCs w:val="36"/>
        </w:rPr>
        <w:t xml:space="preserve"> </w:t>
      </w:r>
    </w:p>
    <w:p w14:paraId="479BF447" w14:textId="77777777" w:rsidR="00030A49" w:rsidRDefault="00030A49" w:rsidP="00030A49">
      <w:pPr>
        <w:ind w:left="900" w:firstLine="540"/>
        <w:rPr>
          <w:rFonts w:ascii="Libre Franklin" w:hAnsi="Libre Franklin"/>
          <w:sz w:val="24"/>
          <w:szCs w:val="24"/>
        </w:rPr>
      </w:pPr>
      <w:r>
        <w:rPr>
          <w:rFonts w:ascii="Libre Franklin" w:hAnsi="Libre Franklin"/>
          <w:sz w:val="24"/>
          <w:szCs w:val="24"/>
        </w:rPr>
        <w:tab/>
      </w:r>
    </w:p>
    <w:p w14:paraId="6A8F218C" w14:textId="700881EC" w:rsidR="00030A49" w:rsidRDefault="00030A49" w:rsidP="00970739">
      <w:pPr>
        <w:spacing w:line="300" w:lineRule="auto"/>
        <w:ind w:left="907" w:firstLine="547"/>
        <w:jc w:val="both"/>
        <w:rPr>
          <w:rFonts w:ascii="Libre Franklin" w:hAnsi="Libre Franklin"/>
          <w:sz w:val="24"/>
          <w:szCs w:val="24"/>
        </w:rPr>
      </w:pPr>
      <w:r>
        <w:rPr>
          <w:rFonts w:ascii="Libre Franklin" w:hAnsi="Libre Franklin"/>
          <w:sz w:val="24"/>
          <w:szCs w:val="24"/>
        </w:rPr>
        <w:t xml:space="preserve">This overview focused on the </w:t>
      </w:r>
      <w:r w:rsidR="00970739">
        <w:rPr>
          <w:rFonts w:ascii="Libre Franklin" w:hAnsi="Libre Franklin"/>
          <w:sz w:val="24"/>
          <w:szCs w:val="24"/>
        </w:rPr>
        <w:t xml:space="preserve">available </w:t>
      </w:r>
      <w:r>
        <w:rPr>
          <w:rFonts w:ascii="Libre Franklin" w:hAnsi="Libre Franklin"/>
          <w:sz w:val="24"/>
          <w:szCs w:val="24"/>
        </w:rPr>
        <w:t xml:space="preserve">LEED credits of the two rating systems LEED 2009 and LEED </w:t>
      </w:r>
      <w:proofErr w:type="gramStart"/>
      <w:r>
        <w:rPr>
          <w:rFonts w:ascii="Libre Franklin" w:hAnsi="Libre Franklin"/>
          <w:sz w:val="24"/>
          <w:szCs w:val="24"/>
        </w:rPr>
        <w:t>v4 which a project may typically achieve</w:t>
      </w:r>
      <w:proofErr w:type="gramEnd"/>
      <w:r>
        <w:rPr>
          <w:rFonts w:ascii="Libre Franklin" w:hAnsi="Libre Franklin"/>
          <w:sz w:val="24"/>
          <w:szCs w:val="24"/>
        </w:rPr>
        <w:t xml:space="preserve"> with the implementation of Avanti’s products.</w:t>
      </w:r>
    </w:p>
    <w:p w14:paraId="5A75FBFE" w14:textId="77777777" w:rsidR="00030A49" w:rsidRDefault="00030A49" w:rsidP="00970739">
      <w:pPr>
        <w:spacing w:line="300" w:lineRule="auto"/>
        <w:ind w:left="907" w:firstLine="547"/>
        <w:jc w:val="both"/>
        <w:rPr>
          <w:rFonts w:ascii="Libre Franklin" w:hAnsi="Libre Franklin"/>
          <w:sz w:val="24"/>
          <w:szCs w:val="24"/>
        </w:rPr>
      </w:pPr>
      <w:r>
        <w:rPr>
          <w:rFonts w:ascii="Libre Franklin" w:hAnsi="Libre Franklin"/>
          <w:sz w:val="24"/>
          <w:szCs w:val="24"/>
        </w:rPr>
        <w:t>While no product will ever be “LEED Certified”, Avanti products assist in the LEED Certification process under:</w:t>
      </w:r>
    </w:p>
    <w:p w14:paraId="5EF7C38B" w14:textId="6FCE4438" w:rsidR="00916F66" w:rsidRPr="001D3C16" w:rsidRDefault="00916F66" w:rsidP="00030A49">
      <w:pPr>
        <w:pStyle w:val="ListParagraph"/>
        <w:numPr>
          <w:ilvl w:val="0"/>
          <w:numId w:val="1"/>
        </w:numPr>
        <w:spacing w:line="300" w:lineRule="auto"/>
        <w:rPr>
          <w:sz w:val="24"/>
          <w:szCs w:val="24"/>
        </w:rPr>
      </w:pPr>
      <w:r w:rsidRPr="001D3C16">
        <w:rPr>
          <w:rFonts w:ascii="Libre Franklin SemiBold" w:hAnsi="Libre Franklin SemiBold"/>
          <w:sz w:val="24"/>
          <w:szCs w:val="24"/>
        </w:rPr>
        <w:t>Materials Reuse Credit</w:t>
      </w:r>
      <w:r w:rsidRPr="001D3C16">
        <w:rPr>
          <w:rFonts w:ascii="Libre Franklin" w:hAnsi="Libre Franklin"/>
          <w:sz w:val="24"/>
          <w:szCs w:val="24"/>
        </w:rPr>
        <w:t xml:space="preserve"> (LEED 2009 – MRc3, LEED v4 </w:t>
      </w:r>
      <w:r w:rsidR="00D928D6" w:rsidRPr="001D3C16">
        <w:rPr>
          <w:rFonts w:ascii="Libre Franklin" w:hAnsi="Libre Franklin"/>
          <w:sz w:val="24"/>
          <w:szCs w:val="24"/>
        </w:rPr>
        <w:t>–</w:t>
      </w:r>
      <w:r w:rsidRPr="001D3C16">
        <w:rPr>
          <w:rFonts w:ascii="Libre Franklin" w:hAnsi="Libre Franklin"/>
          <w:sz w:val="24"/>
          <w:szCs w:val="24"/>
        </w:rPr>
        <w:t xml:space="preserve"> </w:t>
      </w:r>
      <w:r w:rsidR="00D928D6" w:rsidRPr="001D3C16">
        <w:rPr>
          <w:rFonts w:ascii="Libre Franklin" w:hAnsi="Libre Franklin"/>
          <w:sz w:val="24"/>
          <w:szCs w:val="24"/>
        </w:rPr>
        <w:t>Building-Life Cycle Impact Reduction, Option 3)</w:t>
      </w:r>
    </w:p>
    <w:p w14:paraId="7C5A6603" w14:textId="4B68F8BB" w:rsidR="00030A49" w:rsidRPr="001D3C16" w:rsidRDefault="00030A49" w:rsidP="00030A49">
      <w:pPr>
        <w:pStyle w:val="ListParagraph"/>
        <w:numPr>
          <w:ilvl w:val="0"/>
          <w:numId w:val="1"/>
        </w:numPr>
        <w:spacing w:line="300" w:lineRule="auto"/>
        <w:rPr>
          <w:sz w:val="24"/>
          <w:szCs w:val="24"/>
        </w:rPr>
      </w:pPr>
      <w:bookmarkStart w:id="0" w:name="_GoBack"/>
      <w:bookmarkEnd w:id="0"/>
      <w:r w:rsidRPr="001D3C16">
        <w:rPr>
          <w:rFonts w:ascii="Libre Franklin SemiBold" w:hAnsi="Libre Franklin SemiBold"/>
          <w:sz w:val="24"/>
          <w:szCs w:val="24"/>
        </w:rPr>
        <w:t>Recycled Content Credit</w:t>
      </w:r>
      <w:r w:rsidR="00D928D6" w:rsidRPr="001D3C16">
        <w:rPr>
          <w:rFonts w:ascii="Libre Franklin" w:hAnsi="Libre Franklin"/>
          <w:sz w:val="24"/>
          <w:szCs w:val="24"/>
        </w:rPr>
        <w:t xml:space="preserve"> (LEED 2009 – MRc4, LEED v4 – Environmental Product Declarations, Option 2)</w:t>
      </w:r>
    </w:p>
    <w:p w14:paraId="07DCF015" w14:textId="5418055D" w:rsidR="00030A49" w:rsidRPr="001D3C16" w:rsidRDefault="00030A49" w:rsidP="00030A49">
      <w:pPr>
        <w:pStyle w:val="ListParagraph"/>
        <w:numPr>
          <w:ilvl w:val="0"/>
          <w:numId w:val="1"/>
        </w:numPr>
        <w:spacing w:line="300" w:lineRule="auto"/>
        <w:rPr>
          <w:sz w:val="24"/>
          <w:szCs w:val="24"/>
        </w:rPr>
      </w:pPr>
      <w:r w:rsidRPr="001D3C16">
        <w:rPr>
          <w:rFonts w:ascii="Libre Franklin SemiBold" w:hAnsi="Libre Franklin SemiBold"/>
          <w:sz w:val="24"/>
          <w:szCs w:val="24"/>
        </w:rPr>
        <w:t>Regional Materials Credit</w:t>
      </w:r>
      <w:r w:rsidR="00D928D6" w:rsidRPr="001D3C16">
        <w:rPr>
          <w:rFonts w:ascii="Libre Franklin" w:hAnsi="Libre Franklin"/>
          <w:sz w:val="24"/>
          <w:szCs w:val="24"/>
        </w:rPr>
        <w:t xml:space="preserve"> (LEED 2009 – MRc5, LEED v4 – Environmental Product Declarations, Option 2)</w:t>
      </w:r>
    </w:p>
    <w:p w14:paraId="36FD9A82" w14:textId="3A8CB5EA" w:rsidR="004B455F" w:rsidRPr="001D3C16" w:rsidRDefault="004B455F" w:rsidP="004B455F">
      <w:pPr>
        <w:pStyle w:val="ListParagraph"/>
        <w:numPr>
          <w:ilvl w:val="0"/>
          <w:numId w:val="1"/>
        </w:numPr>
        <w:spacing w:line="300" w:lineRule="auto"/>
        <w:rPr>
          <w:sz w:val="24"/>
          <w:szCs w:val="24"/>
        </w:rPr>
      </w:pPr>
      <w:r w:rsidRPr="001D3C16">
        <w:rPr>
          <w:rFonts w:ascii="Libre Franklin SemiBold" w:hAnsi="Libre Franklin SemiBold"/>
          <w:sz w:val="24"/>
          <w:szCs w:val="24"/>
        </w:rPr>
        <w:t>Minimum Acoustic Performance for School Credit (LEED 2009 – EQ P3, LEEDv4 – Acoustic Performance)</w:t>
      </w:r>
    </w:p>
    <w:p w14:paraId="29E7FF82" w14:textId="4471D0EA" w:rsidR="00030A49" w:rsidRPr="001D3C16" w:rsidRDefault="00030A49" w:rsidP="00030A49">
      <w:pPr>
        <w:pStyle w:val="ListParagraph"/>
        <w:numPr>
          <w:ilvl w:val="0"/>
          <w:numId w:val="1"/>
        </w:numPr>
        <w:spacing w:line="300" w:lineRule="auto"/>
        <w:rPr>
          <w:sz w:val="24"/>
          <w:szCs w:val="24"/>
        </w:rPr>
      </w:pPr>
      <w:r w:rsidRPr="001D3C16">
        <w:rPr>
          <w:rFonts w:ascii="Libre Franklin SemiBold" w:hAnsi="Libre Franklin SemiBold"/>
          <w:sz w:val="24"/>
          <w:szCs w:val="24"/>
        </w:rPr>
        <w:t>Enhanced Acoustic Performance for School Credit</w:t>
      </w:r>
      <w:r w:rsidR="00302EF6" w:rsidRPr="001D3C16">
        <w:rPr>
          <w:rFonts w:ascii="Libre Franklin" w:hAnsi="Libre Franklin"/>
          <w:sz w:val="24"/>
          <w:szCs w:val="24"/>
        </w:rPr>
        <w:t xml:space="preserve"> (LEED 2009 – EQc9, LEED v4 – Acoustic Performance)</w:t>
      </w:r>
    </w:p>
    <w:p w14:paraId="2E331FC0" w14:textId="266CD976" w:rsidR="00030A49" w:rsidRPr="001D3C16" w:rsidRDefault="004B455F" w:rsidP="00030A49">
      <w:pPr>
        <w:pStyle w:val="ListParagraph"/>
        <w:numPr>
          <w:ilvl w:val="0"/>
          <w:numId w:val="1"/>
        </w:numPr>
        <w:spacing w:line="300" w:lineRule="auto"/>
        <w:rPr>
          <w:sz w:val="24"/>
          <w:szCs w:val="24"/>
        </w:rPr>
      </w:pPr>
      <w:r w:rsidRPr="001D3C16">
        <w:rPr>
          <w:rFonts w:ascii="Libre Franklin SemiBold" w:hAnsi="Libre Franklin SemiBold"/>
          <w:sz w:val="24"/>
          <w:szCs w:val="24"/>
        </w:rPr>
        <w:t xml:space="preserve">Daylight and Views – daylight </w:t>
      </w:r>
      <w:r w:rsidR="00030A49" w:rsidRPr="001D3C16">
        <w:rPr>
          <w:rFonts w:ascii="Libre Franklin SemiBold" w:hAnsi="Libre Franklin SemiBold"/>
          <w:sz w:val="24"/>
          <w:szCs w:val="24"/>
        </w:rPr>
        <w:t>Credit</w:t>
      </w:r>
      <w:r w:rsidR="00670B15" w:rsidRPr="001D3C16">
        <w:rPr>
          <w:rFonts w:ascii="Libre Franklin" w:hAnsi="Libre Franklin"/>
          <w:sz w:val="24"/>
          <w:szCs w:val="24"/>
        </w:rPr>
        <w:t xml:space="preserve"> (LEED 2009 – EQc8.1, LEED v4 – Daylight)</w:t>
      </w:r>
    </w:p>
    <w:p w14:paraId="38DF5BAF" w14:textId="043FC9D2" w:rsidR="004B455F" w:rsidRPr="001D3C16" w:rsidRDefault="004B455F" w:rsidP="00030A49">
      <w:pPr>
        <w:pStyle w:val="ListParagraph"/>
        <w:numPr>
          <w:ilvl w:val="0"/>
          <w:numId w:val="1"/>
        </w:numPr>
        <w:spacing w:line="300" w:lineRule="auto"/>
        <w:rPr>
          <w:sz w:val="24"/>
          <w:szCs w:val="24"/>
        </w:rPr>
      </w:pPr>
      <w:r w:rsidRPr="001D3C16">
        <w:rPr>
          <w:rFonts w:ascii="Libre Franklin SemiBold" w:hAnsi="Libre Franklin SemiBold"/>
          <w:sz w:val="24"/>
          <w:szCs w:val="24"/>
        </w:rPr>
        <w:t>Daylight and Views – views Credit (LEED 2009 – Eqc8.2, LEEDv4 – Quality Views</w:t>
      </w:r>
    </w:p>
    <w:p w14:paraId="4AB1DA3C" w14:textId="3175B868" w:rsidR="00030A49" w:rsidRPr="001D3C16" w:rsidRDefault="00030A49" w:rsidP="00030A49">
      <w:pPr>
        <w:pStyle w:val="ListParagraph"/>
        <w:numPr>
          <w:ilvl w:val="0"/>
          <w:numId w:val="1"/>
        </w:numPr>
        <w:spacing w:line="300" w:lineRule="auto"/>
        <w:rPr>
          <w:sz w:val="24"/>
          <w:szCs w:val="24"/>
        </w:rPr>
      </w:pPr>
      <w:r w:rsidRPr="001D3C16">
        <w:rPr>
          <w:rFonts w:ascii="Libre Franklin SemiBold" w:hAnsi="Libre Franklin SemiBold"/>
          <w:sz w:val="24"/>
          <w:szCs w:val="24"/>
        </w:rPr>
        <w:t>FSC Certified Wood Credit</w:t>
      </w:r>
      <w:r w:rsidR="00D928D6" w:rsidRPr="001D3C16">
        <w:rPr>
          <w:rFonts w:ascii="Libre Franklin" w:hAnsi="Libre Franklin"/>
          <w:sz w:val="24"/>
          <w:szCs w:val="24"/>
        </w:rPr>
        <w:t xml:space="preserve"> (LEED 2009 – MRc7, LEED v4 – Sourcing of Raw Materials, Option 2)</w:t>
      </w:r>
    </w:p>
    <w:p w14:paraId="562FA20C" w14:textId="7043CDDD" w:rsidR="00670B15" w:rsidRPr="00CF1B1B" w:rsidRDefault="00670B15" w:rsidP="00030A49">
      <w:pPr>
        <w:pStyle w:val="ListParagraph"/>
        <w:numPr>
          <w:ilvl w:val="0"/>
          <w:numId w:val="1"/>
        </w:numPr>
        <w:spacing w:line="300" w:lineRule="auto"/>
        <w:rPr>
          <w:sz w:val="24"/>
          <w:szCs w:val="24"/>
        </w:rPr>
      </w:pPr>
      <w:r w:rsidRPr="001D3C16">
        <w:rPr>
          <w:rFonts w:ascii="Libre Franklin SemiBold" w:hAnsi="Libre Franklin SemiBold"/>
          <w:sz w:val="24"/>
          <w:szCs w:val="24"/>
        </w:rPr>
        <w:t xml:space="preserve">Resource Use – Design for Flexibility </w:t>
      </w:r>
      <w:r w:rsidR="00D70AFD" w:rsidRPr="001D3C16">
        <w:rPr>
          <w:rFonts w:ascii="Libre Franklin SemiBold" w:hAnsi="Libre Franklin SemiBold"/>
          <w:sz w:val="24"/>
          <w:szCs w:val="24"/>
        </w:rPr>
        <w:t xml:space="preserve">for Healthcare </w:t>
      </w:r>
      <w:r w:rsidRPr="001D3C16">
        <w:rPr>
          <w:rFonts w:ascii="Libre Franklin SemiBold" w:hAnsi="Libre Franklin SemiBold"/>
          <w:sz w:val="24"/>
          <w:szCs w:val="24"/>
        </w:rPr>
        <w:t>Credit</w:t>
      </w:r>
      <w:r w:rsidRPr="001D3C16">
        <w:rPr>
          <w:rFonts w:ascii="Libre Franklin" w:hAnsi="Libre Franklin"/>
          <w:sz w:val="24"/>
          <w:szCs w:val="24"/>
        </w:rPr>
        <w:t xml:space="preserve"> (LEED 2009 –</w:t>
      </w:r>
      <w:r>
        <w:rPr>
          <w:rFonts w:ascii="Libre Franklin" w:hAnsi="Libre Franklin"/>
          <w:sz w:val="24"/>
          <w:szCs w:val="24"/>
        </w:rPr>
        <w:t xml:space="preserve"> MRc6, LEED v4 – </w:t>
      </w:r>
      <w:r w:rsidR="00E62084">
        <w:rPr>
          <w:rFonts w:ascii="Libre Franklin" w:hAnsi="Libre Franklin"/>
          <w:sz w:val="24"/>
          <w:szCs w:val="24"/>
        </w:rPr>
        <w:t>Design for Flexibility</w:t>
      </w:r>
      <w:r>
        <w:rPr>
          <w:rFonts w:ascii="Libre Franklin" w:hAnsi="Libre Franklin"/>
          <w:sz w:val="24"/>
          <w:szCs w:val="24"/>
        </w:rPr>
        <w:t>)</w:t>
      </w:r>
    </w:p>
    <w:p w14:paraId="7442BA9D" w14:textId="77777777" w:rsidR="00970739" w:rsidRPr="00030A49" w:rsidRDefault="00970739" w:rsidP="00970739">
      <w:pPr>
        <w:pStyle w:val="ListParagraph"/>
        <w:spacing w:line="300" w:lineRule="auto"/>
        <w:ind w:left="2218"/>
        <w:rPr>
          <w:sz w:val="24"/>
          <w:szCs w:val="24"/>
        </w:rPr>
      </w:pPr>
    </w:p>
    <w:p w14:paraId="4BBC6B0E" w14:textId="4AC4A034" w:rsidR="00030A49" w:rsidRPr="00970739" w:rsidRDefault="00970739" w:rsidP="00970739">
      <w:pPr>
        <w:spacing w:line="300" w:lineRule="auto"/>
        <w:ind w:left="900" w:firstLine="720"/>
        <w:jc w:val="both"/>
        <w:rPr>
          <w:rFonts w:ascii="Libre Franklin" w:hAnsi="Libre Franklin"/>
          <w:sz w:val="24"/>
          <w:szCs w:val="24"/>
        </w:rPr>
      </w:pPr>
      <w:r>
        <w:rPr>
          <w:rFonts w:ascii="Libre Franklin" w:hAnsi="Libre Franklin"/>
          <w:sz w:val="24"/>
          <w:szCs w:val="24"/>
        </w:rPr>
        <w:t xml:space="preserve">Additionally, the imbedded calculators, tables and data can be used along with the specification sheets when providing customers with the requested documentation for LEED compliance.  After reviewing several competitors’ websites and the evidence listed previously it is clear that Avanti’s products are superior in their contributions to LEED credits as well as their general sustainable attributes. </w:t>
      </w:r>
    </w:p>
    <w:sectPr w:rsidR="00030A49" w:rsidRPr="00970739" w:rsidSect="00030A49">
      <w:headerReference w:type="default" r:id="rId9"/>
      <w:footerReference w:type="even" r:id="rId10"/>
      <w:footerReference w:type="default" r:id="rId11"/>
      <w:pgSz w:w="12240" w:h="15840"/>
      <w:pgMar w:top="720" w:right="72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E62084" w:rsidRDefault="00E62084" w:rsidP="00155D32">
      <w:pPr>
        <w:spacing w:after="0" w:line="240" w:lineRule="auto"/>
      </w:pPr>
      <w:r>
        <w:separator/>
      </w:r>
    </w:p>
  </w:endnote>
  <w:endnote w:type="continuationSeparator" w:id="0">
    <w:p w14:paraId="08C5FBE7" w14:textId="77777777" w:rsidR="00E62084" w:rsidRDefault="00E62084"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E62084" w:rsidRDefault="00E62084">
    <w:pPr>
      <w:pStyle w:val="Footer"/>
    </w:pPr>
    <w:sdt>
      <w:sdtPr>
        <w:id w:val="969400743"/>
        <w:placeholder>
          <w:docPart w:val="C66380A2A7AA1E40B05AEE233819FCCA"/>
        </w:placeholder>
        <w:temporary/>
        <w:showingPlcHdr/>
      </w:sdtPr>
      <w:sdtContent>
        <w:r>
          <w:t>[Type text]</w:t>
        </w:r>
      </w:sdtContent>
    </w:sdt>
    <w:r>
      <w:ptab w:relativeTo="margin" w:alignment="center" w:leader="none"/>
    </w:r>
    <w:sdt>
      <w:sdtPr>
        <w:id w:val="969400748"/>
        <w:placeholder>
          <w:docPart w:val="7F5BA6B12B4AD1418E495FA6825D9E0B"/>
        </w:placeholder>
        <w:temporary/>
        <w:showingPlcHdr/>
      </w:sdtPr>
      <w:sdtContent>
        <w:r>
          <w:t>[Type text]</w:t>
        </w:r>
      </w:sdtContent>
    </w:sdt>
    <w:r>
      <w:ptab w:relativeTo="margin" w:alignment="right" w:leader="none"/>
    </w:r>
    <w:sdt>
      <w:sdtPr>
        <w:id w:val="969400753"/>
        <w:placeholder>
          <w:docPart w:val="F75BC4FE50F2514DAA9AA1B5958114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E62084" w:rsidRDefault="00E62084">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E62084" w:rsidRDefault="00E62084" w:rsidP="00155D32">
      <w:pPr>
        <w:spacing w:after="0" w:line="240" w:lineRule="auto"/>
      </w:pPr>
      <w:r>
        <w:separator/>
      </w:r>
    </w:p>
  </w:footnote>
  <w:footnote w:type="continuationSeparator" w:id="0">
    <w:p w14:paraId="45FAD81C" w14:textId="77777777" w:rsidR="00E62084" w:rsidRDefault="00E62084"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453F20CB" w:rsidR="00E62084" w:rsidRPr="00030A49" w:rsidRDefault="00E62084"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26BDEFD9">
          <wp:simplePos x="0" y="0"/>
          <wp:positionH relativeFrom="margin">
            <wp:posOffset>6438265</wp:posOffset>
          </wp:positionH>
          <wp:positionV relativeFrom="margin">
            <wp:posOffset>-742702</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sidRPr="00030A49">
      <w:rPr>
        <w:rFonts w:ascii="Libre Franklin Medium Italic" w:hAnsi="Libre Franklin Medium Italic"/>
        <w:noProof/>
        <w:sz w:val="40"/>
        <w:szCs w:val="40"/>
      </w:rPr>
      <w:t>Conclusion</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57082"/>
    <w:rsid w:val="000E049C"/>
    <w:rsid w:val="001025B5"/>
    <w:rsid w:val="00125E9D"/>
    <w:rsid w:val="001324BC"/>
    <w:rsid w:val="001338DE"/>
    <w:rsid w:val="00155D32"/>
    <w:rsid w:val="00163DCE"/>
    <w:rsid w:val="00185EA8"/>
    <w:rsid w:val="001D3C16"/>
    <w:rsid w:val="001F0843"/>
    <w:rsid w:val="001F2F0C"/>
    <w:rsid w:val="00205530"/>
    <w:rsid w:val="002454BA"/>
    <w:rsid w:val="00247438"/>
    <w:rsid w:val="00252D25"/>
    <w:rsid w:val="00273531"/>
    <w:rsid w:val="002E5649"/>
    <w:rsid w:val="002F3933"/>
    <w:rsid w:val="00302EF6"/>
    <w:rsid w:val="00333453"/>
    <w:rsid w:val="00367E7F"/>
    <w:rsid w:val="00400539"/>
    <w:rsid w:val="00404E46"/>
    <w:rsid w:val="00445463"/>
    <w:rsid w:val="00463200"/>
    <w:rsid w:val="004653FB"/>
    <w:rsid w:val="004759B5"/>
    <w:rsid w:val="00482C38"/>
    <w:rsid w:val="00496F8B"/>
    <w:rsid w:val="004A00F1"/>
    <w:rsid w:val="004B455F"/>
    <w:rsid w:val="004D15CA"/>
    <w:rsid w:val="004D3DF0"/>
    <w:rsid w:val="004E1AF3"/>
    <w:rsid w:val="004F0655"/>
    <w:rsid w:val="004F2EEA"/>
    <w:rsid w:val="005125BF"/>
    <w:rsid w:val="0055693A"/>
    <w:rsid w:val="00572513"/>
    <w:rsid w:val="0059073F"/>
    <w:rsid w:val="005A1041"/>
    <w:rsid w:val="005B5677"/>
    <w:rsid w:val="005E5E2D"/>
    <w:rsid w:val="00604ACB"/>
    <w:rsid w:val="00665558"/>
    <w:rsid w:val="00666184"/>
    <w:rsid w:val="00670B15"/>
    <w:rsid w:val="006D04B9"/>
    <w:rsid w:val="006D7A0F"/>
    <w:rsid w:val="00711DCA"/>
    <w:rsid w:val="007267FB"/>
    <w:rsid w:val="00730678"/>
    <w:rsid w:val="0073389A"/>
    <w:rsid w:val="00736869"/>
    <w:rsid w:val="0073704A"/>
    <w:rsid w:val="007673E9"/>
    <w:rsid w:val="00781B25"/>
    <w:rsid w:val="007B245C"/>
    <w:rsid w:val="007B3C6C"/>
    <w:rsid w:val="007D49DA"/>
    <w:rsid w:val="00806351"/>
    <w:rsid w:val="00816878"/>
    <w:rsid w:val="00860804"/>
    <w:rsid w:val="00887EFE"/>
    <w:rsid w:val="008D262C"/>
    <w:rsid w:val="008E0AC0"/>
    <w:rsid w:val="0090778E"/>
    <w:rsid w:val="00916F66"/>
    <w:rsid w:val="0093306F"/>
    <w:rsid w:val="00970739"/>
    <w:rsid w:val="00981625"/>
    <w:rsid w:val="00985F67"/>
    <w:rsid w:val="009C1789"/>
    <w:rsid w:val="00A06806"/>
    <w:rsid w:val="00A06BC1"/>
    <w:rsid w:val="00A21FC2"/>
    <w:rsid w:val="00A52728"/>
    <w:rsid w:val="00A55CC6"/>
    <w:rsid w:val="00A7405E"/>
    <w:rsid w:val="00A86924"/>
    <w:rsid w:val="00A95EAB"/>
    <w:rsid w:val="00AD4924"/>
    <w:rsid w:val="00B45DF4"/>
    <w:rsid w:val="00B67C43"/>
    <w:rsid w:val="00B73B22"/>
    <w:rsid w:val="00BD5FEB"/>
    <w:rsid w:val="00BF14C7"/>
    <w:rsid w:val="00C02925"/>
    <w:rsid w:val="00C06A86"/>
    <w:rsid w:val="00C1353F"/>
    <w:rsid w:val="00C416C4"/>
    <w:rsid w:val="00CB1159"/>
    <w:rsid w:val="00CB78EB"/>
    <w:rsid w:val="00CD2579"/>
    <w:rsid w:val="00CD3021"/>
    <w:rsid w:val="00CE7F6A"/>
    <w:rsid w:val="00CF1B1B"/>
    <w:rsid w:val="00D470A0"/>
    <w:rsid w:val="00D47545"/>
    <w:rsid w:val="00D6134B"/>
    <w:rsid w:val="00D70AFD"/>
    <w:rsid w:val="00D76CB7"/>
    <w:rsid w:val="00D7786F"/>
    <w:rsid w:val="00D928D6"/>
    <w:rsid w:val="00DD6B23"/>
    <w:rsid w:val="00DF0A35"/>
    <w:rsid w:val="00E151BF"/>
    <w:rsid w:val="00E264FF"/>
    <w:rsid w:val="00E33D09"/>
    <w:rsid w:val="00E62084"/>
    <w:rsid w:val="00EC7439"/>
    <w:rsid w:val="00F224CF"/>
    <w:rsid w:val="00F41714"/>
    <w:rsid w:val="00F53DB6"/>
    <w:rsid w:val="00F82395"/>
    <w:rsid w:val="00F9713F"/>
    <w:rsid w:val="00FC6C60"/>
    <w:rsid w:val="00FD1F7B"/>
    <w:rsid w:val="00FE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4D43B3"/>
    <w:rsid w:val="0080572B"/>
    <w:rsid w:val="009C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16D9-98A9-5546-A68C-D2C11241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233</Words>
  <Characters>1330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6</cp:revision>
  <cp:lastPrinted>2017-02-07T15:25:00Z</cp:lastPrinted>
  <dcterms:created xsi:type="dcterms:W3CDTF">2017-07-10T10:15:00Z</dcterms:created>
  <dcterms:modified xsi:type="dcterms:W3CDTF">2017-07-19T02:58:00Z</dcterms:modified>
</cp:coreProperties>
</file>