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0A5C" w14:textId="21D9ED15" w:rsidR="00A06BC1" w:rsidRDefault="00030A49" w:rsidP="00030A49">
      <w:pPr>
        <w:ind w:left="1350" w:hanging="450"/>
        <w:rPr>
          <w:rFonts w:ascii="Libre Franklin" w:hAnsi="Libre Franklin"/>
        </w:rPr>
      </w:pPr>
      <w:r w:rsidRPr="00030A49">
        <w:rPr>
          <w:noProof/>
          <w:sz w:val="36"/>
          <w:szCs w:val="36"/>
        </w:rPr>
        <mc:AlternateContent>
          <mc:Choice Requires="wps">
            <w:drawing>
              <wp:anchor distT="0" distB="0" distL="114300" distR="114300" simplePos="0" relativeHeight="251660288" behindDoc="0" locked="0" layoutInCell="1" allowOverlap="1" wp14:anchorId="5EDE290B" wp14:editId="6FF812AC">
                <wp:simplePos x="0" y="0"/>
                <wp:positionH relativeFrom="column">
                  <wp:posOffset>-215900</wp:posOffset>
                </wp:positionH>
                <wp:positionV relativeFrom="paragraph">
                  <wp:posOffset>179161</wp:posOffset>
                </wp:positionV>
                <wp:extent cx="6524344" cy="0"/>
                <wp:effectExtent l="0" t="0" r="29210" b="25400"/>
                <wp:wrapNone/>
                <wp:docPr id="3" name="Straight Connector 3"/>
                <wp:cNvGraphicFramePr/>
                <a:graphic xmlns:a="http://schemas.openxmlformats.org/drawingml/2006/main">
                  <a:graphicData uri="http://schemas.microsoft.com/office/word/2010/wordprocessingShape">
                    <wps:wsp>
                      <wps:cNvCnPr/>
                      <wps:spPr>
                        <a:xfrm flipH="1">
                          <a:off x="0" y="0"/>
                          <a:ext cx="6524344"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4.1pt" to="496.8pt,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" strokecolor="#73a238"/>
            </w:pict>
          </mc:Fallback>
        </mc:AlternateContent>
      </w:r>
      <w:r w:rsidR="00DD6B23" w:rsidRPr="00030A49">
        <w:rPr>
          <w:noProof/>
          <w:sz w:val="36"/>
          <w:szCs w:val="36"/>
        </w:rPr>
        <mc:AlternateContent>
          <mc:Choice Requires="wps">
            <w:drawing>
              <wp:anchor distT="0" distB="0" distL="114300" distR="114300" simplePos="0" relativeHeight="251659264" behindDoc="0" locked="0" layoutInCell="1" allowOverlap="1" wp14:anchorId="1B2C8C62" wp14:editId="5A4FC8C1">
                <wp:simplePos x="0" y="0"/>
                <wp:positionH relativeFrom="column">
                  <wp:posOffset>378460</wp:posOffset>
                </wp:positionH>
                <wp:positionV relativeFrom="paragraph">
                  <wp:posOffset>-516048</wp:posOffset>
                </wp:positionV>
                <wp:extent cx="0" cy="9573689"/>
                <wp:effectExtent l="76200" t="25400" r="76200" b="78740"/>
                <wp:wrapNone/>
                <wp:docPr id="4" name="Straight Connector 4"/>
                <wp:cNvGraphicFramePr/>
                <a:graphic xmlns:a="http://schemas.openxmlformats.org/drawingml/2006/main">
                  <a:graphicData uri="http://schemas.microsoft.com/office/word/2010/wordprocessingShape">
                    <wps:wsp>
                      <wps:cNvCnPr/>
                      <wps:spPr>
                        <a:xfrm flipV="1">
                          <a:off x="0" y="0"/>
                          <a:ext cx="0" cy="9573689"/>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40.6pt" to="29.8pt,7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" strokecolor="#73a238" strokeweight="3pt">
                <v:shadow on="t" opacity="22937f" mv:blur="40000f" origin=",.5" offset="0,23000emu"/>
              </v:line>
            </w:pict>
          </mc:Fallback>
        </mc:AlternateContent>
      </w:r>
      <w:r w:rsidRPr="00030A49">
        <w:rPr>
          <w:rFonts w:ascii="Libre Franklin" w:hAnsi="Libre Franklin"/>
          <w:sz w:val="36"/>
          <w:szCs w:val="36"/>
        </w:rPr>
        <w:t xml:space="preserve"> </w:t>
      </w:r>
    </w:p>
    <w:p w14:paraId="479BF447" w14:textId="39234274" w:rsidR="00030A49" w:rsidRPr="000D7F49" w:rsidRDefault="000D7F49" w:rsidP="000D7F49">
      <w:pPr>
        <w:ind w:left="1454" w:right="-360" w:hanging="547"/>
        <w:rPr>
          <w:rFonts w:ascii="Libre Franklin Medium Italic" w:hAnsi="Libre Franklin Medium Italic"/>
          <w:sz w:val="28"/>
          <w:szCs w:val="28"/>
        </w:rPr>
      </w:pPr>
      <w:r w:rsidRPr="000D7F49">
        <w:rPr>
          <w:rFonts w:ascii="Libre Franklin Medium Italic" w:hAnsi="Libre Franklin Medium Italic"/>
          <w:sz w:val="28"/>
          <w:szCs w:val="28"/>
        </w:rPr>
        <w:t xml:space="preserve">LEED 2009 – </w:t>
      </w:r>
      <w:r w:rsidR="00FF0EBB">
        <w:rPr>
          <w:rFonts w:ascii="Libre Franklin Medium Italic" w:hAnsi="Libre Franklin Medium Italic"/>
          <w:sz w:val="28"/>
          <w:szCs w:val="28"/>
        </w:rPr>
        <w:t>EQc</w:t>
      </w:r>
      <w:r w:rsidR="000A1A3D">
        <w:rPr>
          <w:rFonts w:ascii="Libre Franklin Medium Italic" w:hAnsi="Libre Franklin Medium Italic"/>
          <w:sz w:val="28"/>
          <w:szCs w:val="28"/>
        </w:rPr>
        <w:t>8.2</w:t>
      </w:r>
      <w:r w:rsidRPr="000D7F49">
        <w:rPr>
          <w:rFonts w:ascii="Libre Franklin Medium Italic" w:hAnsi="Libre Franklin Medium Italic"/>
          <w:sz w:val="28"/>
          <w:szCs w:val="28"/>
        </w:rPr>
        <w:t xml:space="preserve">, LEEDv4 – </w:t>
      </w:r>
      <w:r w:rsidR="000A1A3D">
        <w:rPr>
          <w:rFonts w:ascii="Libre Franklin Medium Italic" w:hAnsi="Libre Franklin Medium Italic"/>
          <w:sz w:val="28"/>
          <w:szCs w:val="28"/>
        </w:rPr>
        <w:t>Quality Views</w:t>
      </w:r>
    </w:p>
    <w:p w14:paraId="6A8F218C" w14:textId="73468163" w:rsidR="00030A49" w:rsidRPr="000A1A3D" w:rsidRDefault="00076070" w:rsidP="000A1A3D">
      <w:pPr>
        <w:spacing w:line="300" w:lineRule="auto"/>
        <w:ind w:left="1440" w:hanging="540"/>
        <w:jc w:val="both"/>
        <w:rPr>
          <w:rFonts w:ascii="Libre Franklin SemiBold" w:hAnsi="Libre Franklin SemiBold"/>
          <w:sz w:val="24"/>
          <w:szCs w:val="24"/>
        </w:rPr>
      </w:pPr>
      <w:r w:rsidRPr="00076070">
        <w:rPr>
          <w:rFonts w:ascii="Libre Franklin SemiBold" w:hAnsi="Libre Franklin SemiBold"/>
          <w:sz w:val="24"/>
          <w:szCs w:val="24"/>
        </w:rPr>
        <w:t>Requirements</w:t>
      </w:r>
      <w:r w:rsidR="000C1EFD">
        <w:rPr>
          <w:rFonts w:ascii="Libre Franklin SemiBold" w:hAnsi="Libre Franklin SemiBold"/>
          <w:sz w:val="24"/>
          <w:szCs w:val="24"/>
        </w:rPr>
        <w:t xml:space="preserve"> LEED 2009</w:t>
      </w:r>
      <w:r w:rsidR="00D96421">
        <w:rPr>
          <w:rFonts w:ascii="Libre Franklin SemiBold" w:hAnsi="Libre Franklin SemiBold"/>
          <w:sz w:val="24"/>
          <w:szCs w:val="24"/>
        </w:rPr>
        <w:t xml:space="preserve"> (BD+C</w:t>
      </w:r>
      <w:r w:rsidR="005B0CA2">
        <w:rPr>
          <w:rFonts w:ascii="Libre Franklin SemiBold" w:hAnsi="Libre Franklin SemiBold"/>
          <w:sz w:val="24"/>
          <w:szCs w:val="24"/>
        </w:rPr>
        <w:t xml:space="preserve"> &amp; ID+C</w:t>
      </w:r>
      <w:r w:rsidR="00D96421">
        <w:rPr>
          <w:rFonts w:ascii="Libre Franklin SemiBold" w:hAnsi="Libre Franklin SemiBold"/>
          <w:sz w:val="24"/>
          <w:szCs w:val="24"/>
        </w:rPr>
        <w:t>)</w:t>
      </w:r>
    </w:p>
    <w:p w14:paraId="089996BB" w14:textId="00561C8B" w:rsidR="00FF0EBB" w:rsidRDefault="000A1A3D" w:rsidP="00FF0EBB">
      <w:pPr>
        <w:spacing w:line="300" w:lineRule="auto"/>
        <w:ind w:left="900" w:firstLine="540"/>
        <w:jc w:val="both"/>
        <w:rPr>
          <w:rFonts w:ascii="Libre Franklin" w:hAnsi="Libre Franklin"/>
          <w:sz w:val="24"/>
          <w:szCs w:val="24"/>
        </w:rPr>
      </w:pPr>
      <w:r>
        <w:rPr>
          <w:rFonts w:ascii="Libre Franklin" w:hAnsi="Libre Franklin"/>
          <w:sz w:val="24"/>
          <w:szCs w:val="24"/>
        </w:rPr>
        <w:t>Achieve a direct line of sight to the outdoor environment via vision glazing between 30 inches and 90 inches (between 0.8 meters and 2.3 meters) above the finish floor for building occupants in 90% of all regularly occupied areas.  Determine the area with a direct line of sight by totaling the regularly occupied floor area that meets the following criteria:</w:t>
      </w:r>
    </w:p>
    <w:p w14:paraId="0E36E0AF" w14:textId="32D4FEC2" w:rsidR="008D02FB" w:rsidRDefault="000A1A3D" w:rsidP="000A1A3D">
      <w:pPr>
        <w:pStyle w:val="ListParagraph"/>
        <w:numPr>
          <w:ilvl w:val="0"/>
          <w:numId w:val="5"/>
        </w:numPr>
        <w:spacing w:line="300" w:lineRule="auto"/>
        <w:jc w:val="both"/>
        <w:rPr>
          <w:rFonts w:ascii="Libre Franklin" w:hAnsi="Libre Franklin"/>
          <w:sz w:val="24"/>
          <w:szCs w:val="24"/>
        </w:rPr>
      </w:pPr>
      <w:r>
        <w:rPr>
          <w:rFonts w:ascii="Libre Franklin" w:hAnsi="Libre Franklin"/>
          <w:sz w:val="24"/>
          <w:szCs w:val="24"/>
        </w:rPr>
        <w:t>In plan view, the area is within sight lines drawn from perimeter vision glazing.</w:t>
      </w:r>
    </w:p>
    <w:p w14:paraId="67D00822" w14:textId="303E1C5D" w:rsidR="000A1A3D" w:rsidRPr="000A1A3D" w:rsidRDefault="000A1A3D" w:rsidP="000A1A3D">
      <w:pPr>
        <w:pStyle w:val="ListParagraph"/>
        <w:numPr>
          <w:ilvl w:val="0"/>
          <w:numId w:val="5"/>
        </w:numPr>
        <w:spacing w:line="300" w:lineRule="auto"/>
        <w:jc w:val="both"/>
        <w:rPr>
          <w:rFonts w:ascii="Libre Franklin" w:hAnsi="Libre Franklin"/>
          <w:sz w:val="24"/>
          <w:szCs w:val="24"/>
        </w:rPr>
      </w:pPr>
      <w:r>
        <w:rPr>
          <w:rFonts w:ascii="Libre Franklin" w:hAnsi="Libre Franklin"/>
          <w:sz w:val="24"/>
          <w:szCs w:val="24"/>
        </w:rPr>
        <w:t>In section view, a direct sight line can be drawn from the area to perimeter vision glazing.</w:t>
      </w:r>
    </w:p>
    <w:p w14:paraId="7B37ADB4" w14:textId="1AE77269" w:rsidR="008D02FB" w:rsidRPr="008D02FB" w:rsidRDefault="000A1A3D" w:rsidP="00FF0EBB">
      <w:pPr>
        <w:spacing w:line="300" w:lineRule="auto"/>
        <w:ind w:left="900" w:firstLine="540"/>
        <w:jc w:val="both"/>
        <w:rPr>
          <w:rFonts w:ascii="Libre Franklin SemiBold" w:hAnsi="Libre Franklin SemiBold"/>
          <w:sz w:val="24"/>
          <w:szCs w:val="24"/>
        </w:rPr>
      </w:pPr>
      <w:r>
        <w:rPr>
          <w:rFonts w:ascii="Libre Franklin" w:hAnsi="Libre Franklin"/>
          <w:sz w:val="24"/>
          <w:szCs w:val="24"/>
        </w:rPr>
        <w:t>The line of sight may be drawn through interior glazing.  For private offices, the entire floor area of the office may be counted if 75% or more of the area has a direct line of sight to perimeter vision glazing.  For multi-occupant spaces, the actual floor area with a direct line of sight to perimeter vision glazing is counted.</w:t>
      </w:r>
    </w:p>
    <w:p w14:paraId="46C3C0DC" w14:textId="7F8D3B8D" w:rsidR="001309E3" w:rsidRPr="001309E3" w:rsidRDefault="001309E3" w:rsidP="009226D2">
      <w:pPr>
        <w:tabs>
          <w:tab w:val="left" w:pos="900"/>
        </w:tabs>
        <w:spacing w:line="300" w:lineRule="auto"/>
        <w:ind w:firstLine="1440"/>
        <w:jc w:val="both"/>
        <w:rPr>
          <w:rFonts w:ascii="Libre Franklin SemiBold" w:hAnsi="Libre Franklin SemiBold"/>
          <w:sz w:val="24"/>
          <w:szCs w:val="24"/>
        </w:rPr>
      </w:pPr>
    </w:p>
    <w:p w14:paraId="7D5BEA04" w14:textId="7009EF32" w:rsidR="008854E3" w:rsidRPr="00B81253" w:rsidRDefault="008854E3" w:rsidP="00B81253">
      <w:pPr>
        <w:spacing w:line="300" w:lineRule="auto"/>
        <w:ind w:left="1080" w:hanging="180"/>
        <w:jc w:val="both"/>
        <w:rPr>
          <w:rFonts w:ascii="Libre Franklin" w:hAnsi="Libre Franklin"/>
          <w:sz w:val="24"/>
          <w:szCs w:val="24"/>
          <w:vertAlign w:val="superscript"/>
        </w:rPr>
      </w:pPr>
      <w:r>
        <w:rPr>
          <w:rFonts w:ascii="Libre Franklin SemiBold" w:hAnsi="Libre Franklin SemiBold"/>
          <w:sz w:val="24"/>
          <w:szCs w:val="24"/>
        </w:rPr>
        <w:t>Requirements LEED v4</w:t>
      </w:r>
      <w:r w:rsidRPr="000D1FF5">
        <w:rPr>
          <w:rFonts w:ascii="Libre Franklin SemiBold" w:hAnsi="Libre Franklin SemiBold"/>
          <w:sz w:val="24"/>
          <w:szCs w:val="24"/>
        </w:rPr>
        <w:t>:</w:t>
      </w:r>
    </w:p>
    <w:p w14:paraId="112B3BBC" w14:textId="608DC399" w:rsidR="008854E3" w:rsidRDefault="008854E3" w:rsidP="00B81253">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 xml:space="preserve">Achieve </w:t>
      </w:r>
      <w:r w:rsidR="00B81253">
        <w:rPr>
          <w:rFonts w:ascii="Libre Franklin" w:hAnsi="Libre Franklin"/>
          <w:sz w:val="24"/>
          <w:szCs w:val="24"/>
        </w:rPr>
        <w:t>a direct line of sight to the outdoors via vision glazing for 75% of all regularly occupied floor area.  View glazing in the contributing area must provide a clear image of the exterior, not obstructed by frits, fibers, patterned glazing, or added tints that distort color balance.</w:t>
      </w:r>
    </w:p>
    <w:p w14:paraId="169801E7" w14:textId="3D051A3C" w:rsidR="00B81253" w:rsidRDefault="00B81253" w:rsidP="00B81253">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Additionally, 75% of all regularly occupied floor area must have at least two of the following four kinds of views:</w:t>
      </w:r>
    </w:p>
    <w:p w14:paraId="3995A5C4" w14:textId="43E9D61E" w:rsidR="00B81253" w:rsidRDefault="00B81253" w:rsidP="00B81253">
      <w:pPr>
        <w:pStyle w:val="ListParagraph"/>
        <w:numPr>
          <w:ilvl w:val="0"/>
          <w:numId w:val="6"/>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Multiple lines of sight to vision glazing in different directions at least 90 degrees apart;</w:t>
      </w:r>
    </w:p>
    <w:p w14:paraId="292D24CF" w14:textId="0A4ED545" w:rsidR="00B81253" w:rsidRDefault="00B81253" w:rsidP="00B81253">
      <w:pPr>
        <w:pStyle w:val="ListParagraph"/>
        <w:numPr>
          <w:ilvl w:val="0"/>
          <w:numId w:val="6"/>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Views that include at least two of the following: (1) flora, fauna, or sky; (2) movement; and (3) objects at least 25 feet from the exterior of the glazing;</w:t>
      </w:r>
    </w:p>
    <w:p w14:paraId="0ADAE34E" w14:textId="6CDDF07D" w:rsidR="00B81253" w:rsidRDefault="00B81253" w:rsidP="00B81253">
      <w:pPr>
        <w:pStyle w:val="ListParagraph"/>
        <w:numPr>
          <w:ilvl w:val="0"/>
          <w:numId w:val="6"/>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Unobstructed views located within the distance of three times the head height of the vision glazing; and</w:t>
      </w:r>
    </w:p>
    <w:p w14:paraId="1C406135" w14:textId="19F99B91" w:rsidR="00B81253" w:rsidRPr="00B81253" w:rsidRDefault="00B81253" w:rsidP="00B81253">
      <w:pPr>
        <w:pStyle w:val="ListParagraph"/>
        <w:numPr>
          <w:ilvl w:val="0"/>
          <w:numId w:val="6"/>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Views with a view factor of 3 or greater, as defined in “Windows and Offices; A Study of Office Worker Performance and the Indoor Environment.”</w:t>
      </w:r>
    </w:p>
    <w:p w14:paraId="33B39C50" w14:textId="4BEAA547" w:rsidR="008854E3" w:rsidRPr="00B81253" w:rsidRDefault="00B81253" w:rsidP="00B81253">
      <w:pPr>
        <w:spacing w:line="300" w:lineRule="auto"/>
        <w:ind w:left="900" w:firstLine="540"/>
        <w:jc w:val="both"/>
        <w:rPr>
          <w:rFonts w:ascii="Libre Franklin" w:hAnsi="Libre Franklin"/>
          <w:sz w:val="24"/>
          <w:szCs w:val="24"/>
        </w:rPr>
      </w:pPr>
      <w:r w:rsidRPr="00030A49">
        <w:rPr>
          <w:noProof/>
          <w:sz w:val="36"/>
          <w:szCs w:val="36"/>
        </w:rPr>
        <w:lastRenderedPageBreak/>
        <mc:AlternateContent>
          <mc:Choice Requires="wps">
            <w:drawing>
              <wp:anchor distT="0" distB="0" distL="114300" distR="114300" simplePos="0" relativeHeight="251682816" behindDoc="0" locked="0" layoutInCell="1" allowOverlap="1" wp14:anchorId="5E1981A1" wp14:editId="374E36B2">
                <wp:simplePos x="0" y="0"/>
                <wp:positionH relativeFrom="column">
                  <wp:posOffset>381798</wp:posOffset>
                </wp:positionH>
                <wp:positionV relativeFrom="paragraph">
                  <wp:posOffset>-598497</wp:posOffset>
                </wp:positionV>
                <wp:extent cx="0" cy="9573260"/>
                <wp:effectExtent l="76200" t="25400" r="76200" b="78740"/>
                <wp:wrapNone/>
                <wp:docPr id="17" name="Straight Connector 17"/>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47.1pt" to="30.05pt,70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" strokecolor="#73a238" strokeweight="3pt">
                <v:shadow on="t" opacity="22937f" mv:blur="40000f" origin=",.5" offset="0,23000emu"/>
              </v:line>
            </w:pict>
          </mc:Fallback>
        </mc:AlternateContent>
      </w:r>
      <w:r w:rsidRPr="00030A49">
        <w:rPr>
          <w:noProof/>
          <w:sz w:val="36"/>
          <w:szCs w:val="36"/>
        </w:rPr>
        <mc:AlternateContent>
          <mc:Choice Requires="wps">
            <w:drawing>
              <wp:anchor distT="0" distB="0" distL="114300" distR="114300" simplePos="0" relativeHeight="251664384" behindDoc="0" locked="0" layoutInCell="1" allowOverlap="1" wp14:anchorId="196963BB" wp14:editId="04BF2B50">
                <wp:simplePos x="0" y="0"/>
                <wp:positionH relativeFrom="column">
                  <wp:posOffset>-232410</wp:posOffset>
                </wp:positionH>
                <wp:positionV relativeFrom="paragraph">
                  <wp:posOffset>197485</wp:posOffset>
                </wp:positionV>
                <wp:extent cx="6523990" cy="0"/>
                <wp:effectExtent l="0" t="0" r="29210" b="25400"/>
                <wp:wrapNone/>
                <wp:docPr id="6" name="Straight Connector 6"/>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5pt,15.55pt" to="495.45pt,1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" strokecolor="#73a238"/>
            </w:pict>
          </mc:Fallback>
        </mc:AlternateContent>
      </w:r>
    </w:p>
    <w:p w14:paraId="35705487" w14:textId="5DE6FE68" w:rsidR="008854E3" w:rsidRDefault="00B81253" w:rsidP="00732409">
      <w:pPr>
        <w:spacing w:line="300" w:lineRule="auto"/>
        <w:ind w:left="900" w:firstLine="540"/>
        <w:jc w:val="both"/>
        <w:rPr>
          <w:rFonts w:ascii="Libre Franklin" w:hAnsi="Libre Franklin"/>
          <w:sz w:val="24"/>
          <w:szCs w:val="24"/>
        </w:rPr>
      </w:pPr>
      <w:r>
        <w:rPr>
          <w:rFonts w:ascii="Libre Franklin" w:hAnsi="Libre Franklin"/>
          <w:sz w:val="24"/>
          <w:szCs w:val="24"/>
        </w:rPr>
        <w:t xml:space="preserve">Include in the calculations any permanent interior obstructions.  </w:t>
      </w:r>
      <w:r w:rsidR="005B0CA2">
        <w:rPr>
          <w:rFonts w:ascii="Libre Franklin" w:hAnsi="Libre Franklin"/>
          <w:sz w:val="24"/>
          <w:szCs w:val="24"/>
        </w:rPr>
        <w:t>Movable furniture and partitions may be excluded.</w:t>
      </w:r>
    </w:p>
    <w:p w14:paraId="470675EE" w14:textId="50939DD3" w:rsidR="005B0CA2" w:rsidRPr="00732409" w:rsidRDefault="005B0CA2" w:rsidP="00732409">
      <w:pPr>
        <w:spacing w:line="300" w:lineRule="auto"/>
        <w:ind w:left="900" w:firstLine="540"/>
        <w:jc w:val="both"/>
        <w:rPr>
          <w:rFonts w:ascii="Libre Franklin" w:hAnsi="Libre Franklin"/>
          <w:sz w:val="24"/>
          <w:szCs w:val="24"/>
        </w:rPr>
      </w:pPr>
      <w:r>
        <w:rPr>
          <w:rFonts w:ascii="Libre Franklin" w:hAnsi="Libre Franklin"/>
          <w:noProof/>
          <w:sz w:val="24"/>
          <w:szCs w:val="24"/>
        </w:rPr>
        <w:drawing>
          <wp:anchor distT="0" distB="0" distL="114300" distR="114300" simplePos="0" relativeHeight="251683840" behindDoc="1" locked="0" layoutInCell="1" allowOverlap="1" wp14:anchorId="1974DC7D" wp14:editId="740965E9">
            <wp:simplePos x="0" y="0"/>
            <wp:positionH relativeFrom="margin">
              <wp:posOffset>1383030</wp:posOffset>
            </wp:positionH>
            <wp:positionV relativeFrom="margin">
              <wp:posOffset>1313180</wp:posOffset>
            </wp:positionV>
            <wp:extent cx="4552315" cy="4572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8 at 11.48.56 AM.png"/>
                    <pic:cNvPicPr/>
                  </pic:nvPicPr>
                  <pic:blipFill>
                    <a:blip r:embed="rId9">
                      <a:extLst>
                        <a:ext uri="{28A0092B-C50C-407E-A947-70E740481C1C}">
                          <a14:useLocalDpi xmlns:a14="http://schemas.microsoft.com/office/drawing/2010/main" val="0"/>
                        </a:ext>
                      </a:extLst>
                    </a:blip>
                    <a:stretch>
                      <a:fillRect/>
                    </a:stretch>
                  </pic:blipFill>
                  <pic:spPr>
                    <a:xfrm>
                      <a:off x="0" y="0"/>
                      <a:ext cx="4552315" cy="4572000"/>
                    </a:xfrm>
                    <a:prstGeom prst="rect">
                      <a:avLst/>
                    </a:prstGeom>
                  </pic:spPr>
                </pic:pic>
              </a:graphicData>
            </a:graphic>
            <wp14:sizeRelH relativeFrom="margin">
              <wp14:pctWidth>0</wp14:pctWidth>
            </wp14:sizeRelH>
            <wp14:sizeRelV relativeFrom="margin">
              <wp14:pctHeight>0</wp14:pctHeight>
            </wp14:sizeRelV>
          </wp:anchor>
        </w:drawing>
      </w:r>
      <w:r>
        <w:rPr>
          <w:rFonts w:ascii="Libre Franklin" w:hAnsi="Libre Franklin"/>
          <w:sz w:val="24"/>
          <w:szCs w:val="24"/>
        </w:rPr>
        <w:t>Views into interior atria may be used to meet up to 30% of the required area.</w:t>
      </w:r>
    </w:p>
    <w:p w14:paraId="1F714B07" w14:textId="77777777" w:rsidR="008854E3" w:rsidRDefault="008854E3" w:rsidP="008854E3">
      <w:pPr>
        <w:spacing w:line="300" w:lineRule="auto"/>
        <w:ind w:left="1440" w:hanging="540"/>
        <w:jc w:val="both"/>
        <w:rPr>
          <w:rFonts w:ascii="Libre Franklin SemiBold" w:hAnsi="Libre Franklin SemiBold"/>
          <w:sz w:val="24"/>
          <w:szCs w:val="24"/>
        </w:rPr>
      </w:pPr>
    </w:p>
    <w:p w14:paraId="45911573" w14:textId="0408BF69" w:rsidR="008854E3" w:rsidRPr="00914066" w:rsidRDefault="008854E3" w:rsidP="00914066">
      <w:pPr>
        <w:spacing w:line="300" w:lineRule="auto"/>
        <w:ind w:left="1440" w:hanging="540"/>
        <w:jc w:val="both"/>
        <w:rPr>
          <w:rFonts w:ascii="Libre Franklin SemiBold" w:hAnsi="Libre Franklin SemiBold"/>
          <w:sz w:val="24"/>
          <w:szCs w:val="24"/>
        </w:rPr>
      </w:pPr>
    </w:p>
    <w:p w14:paraId="69B2CFC7" w14:textId="39925DFF" w:rsidR="008854E3" w:rsidRDefault="008854E3" w:rsidP="008854E3">
      <w:pPr>
        <w:spacing w:line="300" w:lineRule="auto"/>
        <w:ind w:left="1440" w:hanging="540"/>
        <w:jc w:val="both"/>
        <w:rPr>
          <w:rFonts w:ascii="Libre Franklin SemiBold" w:hAnsi="Libre Franklin SemiBold"/>
          <w:sz w:val="24"/>
          <w:szCs w:val="24"/>
        </w:rPr>
      </w:pPr>
    </w:p>
    <w:p w14:paraId="4515FA76" w14:textId="314F76F7" w:rsidR="00732409" w:rsidRPr="005B0CA2" w:rsidRDefault="00732409" w:rsidP="00732409">
      <w:pPr>
        <w:spacing w:line="300" w:lineRule="auto"/>
        <w:ind w:left="900" w:firstLine="540"/>
        <w:rPr>
          <w:rFonts w:ascii="Libre Franklin" w:hAnsi="Libre Franklin"/>
          <w:sz w:val="24"/>
          <w:szCs w:val="24"/>
        </w:rPr>
      </w:pPr>
      <w:r>
        <w:rPr>
          <w:rFonts w:ascii="Libre Franklin" w:hAnsi="Libre Franklin"/>
          <w:sz w:val="24"/>
          <w:szCs w:val="24"/>
          <w:vertAlign w:val="superscript"/>
        </w:rPr>
        <w:t xml:space="preserve">                                           </w:t>
      </w:r>
    </w:p>
    <w:p w14:paraId="7D3F6C88" w14:textId="77777777" w:rsidR="00732409" w:rsidRDefault="00732409" w:rsidP="00732409">
      <w:pPr>
        <w:spacing w:line="300" w:lineRule="auto"/>
        <w:ind w:left="900" w:firstLine="540"/>
        <w:rPr>
          <w:rFonts w:ascii="Libre Franklin" w:hAnsi="Libre Franklin"/>
          <w:sz w:val="24"/>
          <w:szCs w:val="24"/>
          <w:vertAlign w:val="superscript"/>
        </w:rPr>
      </w:pPr>
    </w:p>
    <w:p w14:paraId="05339CB7" w14:textId="77777777" w:rsidR="00732409" w:rsidRDefault="00732409" w:rsidP="00732409">
      <w:pPr>
        <w:spacing w:line="300" w:lineRule="auto"/>
        <w:ind w:left="900" w:firstLine="540"/>
        <w:rPr>
          <w:rFonts w:ascii="Libre Franklin" w:hAnsi="Libre Franklin"/>
          <w:sz w:val="24"/>
          <w:szCs w:val="24"/>
          <w:vertAlign w:val="superscript"/>
        </w:rPr>
      </w:pPr>
    </w:p>
    <w:p w14:paraId="280FBCF9" w14:textId="77777777" w:rsidR="00732409" w:rsidRDefault="00732409" w:rsidP="00732409">
      <w:pPr>
        <w:spacing w:line="300" w:lineRule="auto"/>
        <w:ind w:left="900" w:firstLine="540"/>
        <w:rPr>
          <w:rFonts w:ascii="Libre Franklin" w:hAnsi="Libre Franklin"/>
          <w:sz w:val="24"/>
          <w:szCs w:val="24"/>
          <w:vertAlign w:val="superscript"/>
        </w:rPr>
      </w:pPr>
    </w:p>
    <w:p w14:paraId="7ED1618A" w14:textId="77777777" w:rsidR="00732409" w:rsidRDefault="00732409" w:rsidP="00732409">
      <w:pPr>
        <w:spacing w:line="300" w:lineRule="auto"/>
        <w:ind w:left="900" w:firstLine="540"/>
        <w:rPr>
          <w:rFonts w:ascii="Libre Franklin" w:hAnsi="Libre Franklin"/>
          <w:sz w:val="24"/>
          <w:szCs w:val="24"/>
          <w:vertAlign w:val="superscript"/>
        </w:rPr>
      </w:pPr>
    </w:p>
    <w:p w14:paraId="279794F5" w14:textId="77777777" w:rsidR="005B0CA2" w:rsidRDefault="005B0CA2" w:rsidP="00732409">
      <w:pPr>
        <w:spacing w:line="300" w:lineRule="auto"/>
        <w:ind w:left="900" w:firstLine="540"/>
        <w:rPr>
          <w:rFonts w:ascii="Libre Franklin" w:hAnsi="Libre Franklin"/>
          <w:sz w:val="24"/>
          <w:szCs w:val="24"/>
          <w:vertAlign w:val="superscript"/>
        </w:rPr>
      </w:pPr>
    </w:p>
    <w:p w14:paraId="7D3A3179" w14:textId="77777777" w:rsidR="005B0CA2" w:rsidRDefault="005B0CA2" w:rsidP="00732409">
      <w:pPr>
        <w:spacing w:line="300" w:lineRule="auto"/>
        <w:ind w:left="900" w:firstLine="540"/>
        <w:rPr>
          <w:rFonts w:ascii="Libre Franklin" w:hAnsi="Libre Franklin"/>
          <w:sz w:val="24"/>
          <w:szCs w:val="24"/>
          <w:vertAlign w:val="superscript"/>
        </w:rPr>
      </w:pPr>
    </w:p>
    <w:p w14:paraId="3C88F12F" w14:textId="77777777" w:rsidR="005B0CA2" w:rsidRDefault="005B0CA2" w:rsidP="00732409">
      <w:pPr>
        <w:spacing w:line="300" w:lineRule="auto"/>
        <w:ind w:left="900" w:firstLine="540"/>
        <w:rPr>
          <w:rFonts w:ascii="Libre Franklin" w:hAnsi="Libre Franklin"/>
          <w:sz w:val="24"/>
          <w:szCs w:val="24"/>
          <w:vertAlign w:val="superscript"/>
        </w:rPr>
      </w:pPr>
    </w:p>
    <w:p w14:paraId="6C996639" w14:textId="77777777" w:rsidR="005B0CA2" w:rsidRDefault="005B0CA2" w:rsidP="00732409">
      <w:pPr>
        <w:spacing w:line="300" w:lineRule="auto"/>
        <w:ind w:left="900" w:firstLine="540"/>
        <w:rPr>
          <w:rFonts w:ascii="Libre Franklin" w:hAnsi="Libre Franklin"/>
          <w:sz w:val="24"/>
          <w:szCs w:val="24"/>
          <w:vertAlign w:val="superscript"/>
        </w:rPr>
      </w:pPr>
    </w:p>
    <w:p w14:paraId="53F383DB" w14:textId="77777777" w:rsidR="005B0CA2" w:rsidRPr="005B0CA2" w:rsidRDefault="005B0CA2" w:rsidP="00732409">
      <w:pPr>
        <w:spacing w:line="300" w:lineRule="auto"/>
        <w:ind w:left="900" w:firstLine="540"/>
        <w:rPr>
          <w:rFonts w:ascii="Libre Franklin" w:hAnsi="Libre Franklin"/>
          <w:sz w:val="16"/>
          <w:szCs w:val="16"/>
          <w:vertAlign w:val="superscript"/>
        </w:rPr>
      </w:pPr>
    </w:p>
    <w:p w14:paraId="612E4BFE" w14:textId="567862E9" w:rsidR="00BB52E5" w:rsidRPr="005B0CA2" w:rsidRDefault="00732409" w:rsidP="005B0CA2">
      <w:pPr>
        <w:spacing w:line="300" w:lineRule="auto"/>
        <w:ind w:left="900" w:firstLine="540"/>
        <w:rPr>
          <w:rFonts w:ascii="Libre Franklin" w:hAnsi="Libre Franklin"/>
          <w:sz w:val="24"/>
          <w:szCs w:val="24"/>
          <w:vertAlign w:val="superscript"/>
        </w:rPr>
      </w:pPr>
      <w:r>
        <w:rPr>
          <w:rFonts w:ascii="Libre Franklin" w:hAnsi="Libre Franklin"/>
          <w:sz w:val="24"/>
          <w:szCs w:val="24"/>
          <w:vertAlign w:val="superscript"/>
        </w:rPr>
        <w:t xml:space="preserve">                    </w:t>
      </w:r>
      <w:r w:rsidR="005B0CA2">
        <w:rPr>
          <w:rFonts w:ascii="Libre Franklin" w:hAnsi="Libre Franklin"/>
          <w:sz w:val="24"/>
          <w:szCs w:val="24"/>
          <w:vertAlign w:val="superscript"/>
        </w:rPr>
        <w:t xml:space="preserve">                                                                 Figure</w:t>
      </w:r>
      <w:r>
        <w:rPr>
          <w:rFonts w:ascii="Libre Franklin" w:hAnsi="Libre Franklin"/>
          <w:sz w:val="24"/>
          <w:szCs w:val="24"/>
          <w:vertAlign w:val="superscript"/>
        </w:rPr>
        <w:t xml:space="preserve"> 1.  </w:t>
      </w:r>
      <w:r w:rsidR="005B0CA2">
        <w:rPr>
          <w:rFonts w:ascii="Libre Franklin" w:hAnsi="Libre Franklin"/>
          <w:sz w:val="24"/>
          <w:szCs w:val="24"/>
          <w:vertAlign w:val="superscript"/>
        </w:rPr>
        <w:t>Sample Plan for Direct View Calculation</w:t>
      </w:r>
    </w:p>
    <w:p w14:paraId="2029504F" w14:textId="77777777" w:rsidR="0057200D" w:rsidRDefault="00D30A2E" w:rsidP="00B641F3">
      <w:pPr>
        <w:spacing w:line="300" w:lineRule="auto"/>
        <w:ind w:left="900" w:firstLine="540"/>
        <w:jc w:val="both"/>
        <w:rPr>
          <w:rFonts w:ascii="Libre Franklin" w:hAnsi="Libre Franklin"/>
          <w:sz w:val="24"/>
          <w:szCs w:val="24"/>
        </w:rPr>
      </w:pPr>
      <w:r>
        <w:rPr>
          <w:rFonts w:ascii="Libre Franklin" w:hAnsi="Libre Franklin"/>
          <w:sz w:val="24"/>
          <w:szCs w:val="24"/>
        </w:rPr>
        <w:t xml:space="preserve">Above is a sample plan that demonstrates the increase in direct line of sight to outdoor glazing that results form the use of Avanti transparent partitions, walls and doors.  The </w:t>
      </w:r>
      <w:r w:rsidRPr="00D30A2E">
        <w:rPr>
          <w:rFonts w:ascii="Libre Franklin" w:hAnsi="Libre Franklin"/>
          <w:sz w:val="24"/>
          <w:szCs w:val="24"/>
          <w:highlight w:val="darkGreen"/>
        </w:rPr>
        <w:t>green</w:t>
      </w:r>
      <w:r>
        <w:rPr>
          <w:rFonts w:ascii="Libre Franklin" w:hAnsi="Libre Franklin"/>
          <w:color w:val="008000"/>
          <w:sz w:val="24"/>
          <w:szCs w:val="24"/>
        </w:rPr>
        <w:t xml:space="preserve"> </w:t>
      </w:r>
      <w:r>
        <w:rPr>
          <w:rFonts w:ascii="Libre Franklin" w:hAnsi="Libre Franklin"/>
          <w:sz w:val="24"/>
          <w:szCs w:val="24"/>
        </w:rPr>
        <w:t xml:space="preserve">shaded region represents the direct line sight area of regularly occupied spaces that is standard based on the design and layout of the floor.  The </w:t>
      </w:r>
      <w:r w:rsidRPr="00D30A2E">
        <w:rPr>
          <w:rFonts w:ascii="Libre Franklin" w:hAnsi="Libre Franklin"/>
          <w:sz w:val="24"/>
          <w:szCs w:val="24"/>
          <w:highlight w:val="red"/>
        </w:rPr>
        <w:t>red</w:t>
      </w:r>
      <w:r>
        <w:rPr>
          <w:rFonts w:ascii="Libre Franklin" w:hAnsi="Libre Franklin"/>
          <w:sz w:val="24"/>
          <w:szCs w:val="24"/>
        </w:rPr>
        <w:t xml:space="preserve"> region represents spaces that are not regularly occupied (i.e. closets, storage rooms, elevator bank).  The </w:t>
      </w:r>
      <w:r w:rsidRPr="00D30A2E">
        <w:rPr>
          <w:rFonts w:ascii="Libre Franklin" w:hAnsi="Libre Franklin"/>
          <w:sz w:val="24"/>
          <w:szCs w:val="24"/>
          <w:highlight w:val="yellow"/>
        </w:rPr>
        <w:t>yellow</w:t>
      </w:r>
      <w:r>
        <w:rPr>
          <w:rFonts w:ascii="Libre Franklin" w:hAnsi="Libre Franklin"/>
          <w:sz w:val="24"/>
          <w:szCs w:val="24"/>
        </w:rPr>
        <w:t xml:space="preserve"> shaded region are the spaces that have direct line of sight to </w:t>
      </w:r>
      <w:proofErr w:type="gramStart"/>
      <w:r>
        <w:rPr>
          <w:rFonts w:ascii="Libre Franklin" w:hAnsi="Libre Franklin"/>
          <w:sz w:val="24"/>
          <w:szCs w:val="24"/>
        </w:rPr>
        <w:t>outdoor</w:t>
      </w:r>
      <w:proofErr w:type="gramEnd"/>
      <w:r>
        <w:rPr>
          <w:rFonts w:ascii="Libre Franklin" w:hAnsi="Libre Franklin"/>
          <w:sz w:val="24"/>
          <w:szCs w:val="24"/>
        </w:rPr>
        <w:t xml:space="preserve"> glazing because of the use of Avanti products.  As you can see there is a significant increase in the area that has direct sight lines to the outdoors.  For LEED, EQc8.2 (see above) states that to </w:t>
      </w:r>
    </w:p>
    <w:p w14:paraId="0832FF70" w14:textId="77777777" w:rsidR="0057200D" w:rsidRDefault="0057200D" w:rsidP="00B641F3">
      <w:pPr>
        <w:spacing w:line="300" w:lineRule="auto"/>
        <w:ind w:left="900" w:firstLine="540"/>
        <w:jc w:val="both"/>
        <w:rPr>
          <w:rFonts w:ascii="Libre Franklin" w:hAnsi="Libre Franklin"/>
          <w:sz w:val="24"/>
          <w:szCs w:val="24"/>
        </w:rPr>
      </w:pPr>
    </w:p>
    <w:p w14:paraId="277E192C" w14:textId="46F26D1D" w:rsidR="0057200D" w:rsidRDefault="0057200D" w:rsidP="00B641F3">
      <w:pPr>
        <w:spacing w:line="300" w:lineRule="auto"/>
        <w:ind w:left="900" w:firstLine="540"/>
        <w:jc w:val="both"/>
        <w:rPr>
          <w:rFonts w:ascii="Libre Franklin" w:hAnsi="Libre Franklin"/>
          <w:sz w:val="24"/>
          <w:szCs w:val="24"/>
        </w:rPr>
      </w:pPr>
      <w:r w:rsidRPr="00030A49">
        <w:rPr>
          <w:noProof/>
          <w:sz w:val="36"/>
          <w:szCs w:val="36"/>
        </w:rPr>
        <w:lastRenderedPageBreak/>
        <mc:AlternateContent>
          <mc:Choice Requires="wps">
            <w:drawing>
              <wp:anchor distT="0" distB="0" distL="114300" distR="114300" simplePos="0" relativeHeight="251670528" behindDoc="0" locked="0" layoutInCell="1" allowOverlap="1" wp14:anchorId="4FADFF23" wp14:editId="23931C5E">
                <wp:simplePos x="0" y="0"/>
                <wp:positionH relativeFrom="column">
                  <wp:posOffset>376555</wp:posOffset>
                </wp:positionH>
                <wp:positionV relativeFrom="paragraph">
                  <wp:posOffset>-555487</wp:posOffset>
                </wp:positionV>
                <wp:extent cx="0" cy="9573260"/>
                <wp:effectExtent l="76200" t="25400" r="76200" b="78740"/>
                <wp:wrapNone/>
                <wp:docPr id="9" name="Straight Connector 9"/>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43.7pt" to="29.65pt,7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" strokecolor="#73a238" strokeweight="3pt">
                <v:shadow on="t" opacity="22937f" mv:blur="40000f" origin=",.5" offset="0,23000emu"/>
              </v:line>
            </w:pict>
          </mc:Fallback>
        </mc:AlternateContent>
      </w:r>
      <w:r w:rsidRPr="00030A49">
        <w:rPr>
          <w:noProof/>
          <w:sz w:val="36"/>
          <w:szCs w:val="36"/>
        </w:rPr>
        <mc:AlternateContent>
          <mc:Choice Requires="wps">
            <w:drawing>
              <wp:anchor distT="0" distB="0" distL="114300" distR="114300" simplePos="0" relativeHeight="251668480" behindDoc="0" locked="0" layoutInCell="1" allowOverlap="1" wp14:anchorId="73464D79" wp14:editId="59C6D1CB">
                <wp:simplePos x="0" y="0"/>
                <wp:positionH relativeFrom="column">
                  <wp:posOffset>-229235</wp:posOffset>
                </wp:positionH>
                <wp:positionV relativeFrom="paragraph">
                  <wp:posOffset>192405</wp:posOffset>
                </wp:positionV>
                <wp:extent cx="6523990" cy="0"/>
                <wp:effectExtent l="0" t="0" r="29210" b="25400"/>
                <wp:wrapNone/>
                <wp:docPr id="8" name="Straight Connector 8"/>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5.15pt" to="495.7pt,1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" strokecolor="#73a238"/>
            </w:pict>
          </mc:Fallback>
        </mc:AlternateContent>
      </w:r>
    </w:p>
    <w:p w14:paraId="381259FE" w14:textId="1B18CF50" w:rsidR="00173E8B" w:rsidRPr="00D30A2E" w:rsidRDefault="00D30A2E" w:rsidP="00B641F3">
      <w:pPr>
        <w:spacing w:line="300" w:lineRule="auto"/>
        <w:ind w:left="900" w:firstLine="540"/>
        <w:jc w:val="both"/>
        <w:rPr>
          <w:rFonts w:ascii="Libre Franklin" w:hAnsi="Libre Franklin"/>
          <w:sz w:val="24"/>
          <w:szCs w:val="24"/>
        </w:rPr>
      </w:pPr>
      <w:proofErr w:type="gramStart"/>
      <w:r>
        <w:rPr>
          <w:rFonts w:ascii="Libre Franklin" w:hAnsi="Libre Franklin"/>
          <w:sz w:val="24"/>
          <w:szCs w:val="24"/>
        </w:rPr>
        <w:t>receive</w:t>
      </w:r>
      <w:proofErr w:type="gramEnd"/>
      <w:r>
        <w:rPr>
          <w:rFonts w:ascii="Libre Franklin" w:hAnsi="Libre Franklin"/>
          <w:sz w:val="24"/>
          <w:szCs w:val="24"/>
        </w:rPr>
        <w:t xml:space="preserve"> a point 90% of all regularly occupied spaces must have a direct line to the outdoor environment.  In the scenario represented by the sample plan, before the implementation of Avanti products an estimated 81% of spaces would have access </w:t>
      </w:r>
      <w:r w:rsidR="0057200D">
        <w:rPr>
          <w:rFonts w:ascii="Libre Franklin" w:hAnsi="Libre Franklin"/>
          <w:sz w:val="24"/>
          <w:szCs w:val="24"/>
        </w:rPr>
        <w:t>to exterior glazing, not qualif</w:t>
      </w:r>
      <w:r>
        <w:rPr>
          <w:rFonts w:ascii="Libre Franklin" w:hAnsi="Libre Franklin"/>
          <w:sz w:val="24"/>
          <w:szCs w:val="24"/>
        </w:rPr>
        <w:t>ying the space for a point under LEED EQ</w:t>
      </w:r>
      <w:r w:rsidR="0057200D">
        <w:rPr>
          <w:rFonts w:ascii="Libre Franklin" w:hAnsi="Libre Franklin"/>
          <w:sz w:val="24"/>
          <w:szCs w:val="24"/>
        </w:rPr>
        <w:t>c8.2.  After the Avanti products are put in place the area with direct line of sight to the outdoor environment increases to 99%, qualifying the space for a point.  See Figure 2 for calculations.</w:t>
      </w:r>
    </w:p>
    <w:p w14:paraId="4095532D" w14:textId="0A85B80C" w:rsidR="00AF0EF6" w:rsidRDefault="00AF0EF6" w:rsidP="00DB3C87">
      <w:pPr>
        <w:spacing w:line="300" w:lineRule="auto"/>
        <w:ind w:left="1080" w:hanging="180"/>
        <w:jc w:val="both"/>
        <w:rPr>
          <w:rFonts w:ascii="Libre Franklin" w:hAnsi="Libre Franklin"/>
          <w:sz w:val="24"/>
          <w:szCs w:val="24"/>
        </w:rPr>
      </w:pPr>
    </w:p>
    <w:p w14:paraId="3BA4CD0D" w14:textId="0487844B" w:rsidR="00AF0EF6" w:rsidRDefault="00AF0EF6" w:rsidP="00DB3C87">
      <w:pPr>
        <w:spacing w:line="300" w:lineRule="auto"/>
        <w:ind w:left="1080" w:hanging="180"/>
        <w:jc w:val="both"/>
        <w:rPr>
          <w:rFonts w:ascii="Libre Franklin" w:hAnsi="Libre Franklin"/>
          <w:sz w:val="24"/>
          <w:szCs w:val="24"/>
          <w:vertAlign w:val="superscript"/>
        </w:rPr>
      </w:pPr>
    </w:p>
    <w:tbl>
      <w:tblPr>
        <w:tblStyle w:val="TableGrid"/>
        <w:tblpPr w:leftFromText="180" w:rightFromText="180" w:vertAnchor="text" w:horzAnchor="page" w:tblpX="2382" w:tblpY="-445"/>
        <w:tblW w:w="0" w:type="auto"/>
        <w:tblLook w:val="04A0" w:firstRow="1" w:lastRow="0" w:firstColumn="1" w:lastColumn="0" w:noHBand="0" w:noVBand="1"/>
      </w:tblPr>
      <w:tblGrid>
        <w:gridCol w:w="5778"/>
        <w:gridCol w:w="2160"/>
      </w:tblGrid>
      <w:tr w:rsidR="0057200D" w14:paraId="40961D05" w14:textId="77777777" w:rsidTr="0057200D">
        <w:trPr>
          <w:trHeight w:val="455"/>
        </w:trPr>
        <w:tc>
          <w:tcPr>
            <w:tcW w:w="7938" w:type="dxa"/>
            <w:gridSpan w:val="2"/>
            <w:shd w:val="clear" w:color="auto" w:fill="73A238"/>
            <w:vAlign w:val="center"/>
          </w:tcPr>
          <w:p w14:paraId="6E369F9C" w14:textId="419F964F" w:rsidR="0057200D" w:rsidRPr="00076070" w:rsidRDefault="0057200D" w:rsidP="0057200D">
            <w:pPr>
              <w:spacing w:line="300" w:lineRule="auto"/>
              <w:jc w:val="center"/>
              <w:rPr>
                <w:rFonts w:ascii="Libre Franklin" w:hAnsi="Libre Franklin"/>
                <w:sz w:val="24"/>
                <w:szCs w:val="24"/>
              </w:rPr>
            </w:pPr>
            <w:r>
              <w:rPr>
                <w:rFonts w:ascii="Libre Franklin" w:hAnsi="Libre Franklin"/>
                <w:sz w:val="24"/>
                <w:szCs w:val="24"/>
              </w:rPr>
              <w:t>Direct View Calculation</w:t>
            </w:r>
          </w:p>
        </w:tc>
      </w:tr>
      <w:tr w:rsidR="00B641F3" w14:paraId="401F795E" w14:textId="77777777" w:rsidTr="0057200D">
        <w:trPr>
          <w:trHeight w:val="455"/>
        </w:trPr>
        <w:tc>
          <w:tcPr>
            <w:tcW w:w="5778" w:type="dxa"/>
            <w:tcBorders>
              <w:bottom w:val="single" w:sz="4" w:space="0" w:color="auto"/>
            </w:tcBorders>
            <w:vAlign w:val="center"/>
          </w:tcPr>
          <w:p w14:paraId="59E415EB" w14:textId="5F32F694" w:rsidR="00B641F3" w:rsidRPr="00076070" w:rsidRDefault="0057200D" w:rsidP="000E0BAC">
            <w:pPr>
              <w:spacing w:line="300" w:lineRule="auto"/>
              <w:rPr>
                <w:rFonts w:ascii="Libre Franklin" w:hAnsi="Libre Franklin"/>
                <w:sz w:val="24"/>
                <w:szCs w:val="24"/>
              </w:rPr>
            </w:pPr>
            <w:r>
              <w:rPr>
                <w:rFonts w:ascii="Libre Franklin" w:hAnsi="Libre Franklin"/>
                <w:sz w:val="24"/>
                <w:szCs w:val="24"/>
              </w:rPr>
              <w:t>Total Square Footage</w:t>
            </w:r>
          </w:p>
        </w:tc>
        <w:tc>
          <w:tcPr>
            <w:tcW w:w="2160" w:type="dxa"/>
            <w:tcBorders>
              <w:bottom w:val="single" w:sz="4" w:space="0" w:color="auto"/>
            </w:tcBorders>
            <w:vAlign w:val="center"/>
          </w:tcPr>
          <w:p w14:paraId="1E29AEB1" w14:textId="137DBE67" w:rsidR="00B641F3" w:rsidRPr="00076070" w:rsidRDefault="0057200D" w:rsidP="0057200D">
            <w:pPr>
              <w:spacing w:line="300" w:lineRule="auto"/>
              <w:jc w:val="right"/>
              <w:rPr>
                <w:rFonts w:ascii="Libre Franklin" w:hAnsi="Libre Franklin"/>
                <w:sz w:val="24"/>
                <w:szCs w:val="24"/>
              </w:rPr>
            </w:pPr>
            <w:r>
              <w:rPr>
                <w:rFonts w:ascii="Libre Franklin" w:hAnsi="Libre Franklin"/>
                <w:sz w:val="24"/>
                <w:szCs w:val="24"/>
              </w:rPr>
              <w:t>24,400</w:t>
            </w:r>
          </w:p>
        </w:tc>
      </w:tr>
      <w:tr w:rsidR="00B641F3" w14:paraId="414AFC71" w14:textId="77777777" w:rsidTr="0057200D">
        <w:trPr>
          <w:trHeight w:val="455"/>
        </w:trPr>
        <w:tc>
          <w:tcPr>
            <w:tcW w:w="5778" w:type="dxa"/>
            <w:shd w:val="clear" w:color="auto" w:fill="FF0000"/>
            <w:vAlign w:val="center"/>
          </w:tcPr>
          <w:p w14:paraId="127FE66A" w14:textId="6AB8D152" w:rsidR="00B641F3" w:rsidRPr="0057200D" w:rsidRDefault="0057200D" w:rsidP="000E0BAC">
            <w:pPr>
              <w:spacing w:line="300" w:lineRule="auto"/>
              <w:rPr>
                <w:rFonts w:ascii="Libre Franklin" w:hAnsi="Libre Franklin"/>
                <w:sz w:val="24"/>
                <w:szCs w:val="24"/>
              </w:rPr>
            </w:pPr>
            <w:r w:rsidRPr="0057200D">
              <w:rPr>
                <w:rFonts w:ascii="Libre Franklin" w:hAnsi="Libre Franklin"/>
                <w:sz w:val="24"/>
                <w:szCs w:val="24"/>
              </w:rPr>
              <w:t>Not regularly Occupied Spaces (Red)</w:t>
            </w:r>
          </w:p>
        </w:tc>
        <w:tc>
          <w:tcPr>
            <w:tcW w:w="2160" w:type="dxa"/>
            <w:shd w:val="clear" w:color="auto" w:fill="FF0000"/>
            <w:vAlign w:val="center"/>
          </w:tcPr>
          <w:p w14:paraId="4FB72D20" w14:textId="59FE3E8C" w:rsidR="00B641F3" w:rsidRPr="0057200D" w:rsidRDefault="0057200D" w:rsidP="0057200D">
            <w:pPr>
              <w:spacing w:line="300" w:lineRule="auto"/>
              <w:jc w:val="right"/>
              <w:rPr>
                <w:rFonts w:ascii="Libre Franklin" w:hAnsi="Libre Franklin"/>
                <w:sz w:val="24"/>
                <w:szCs w:val="24"/>
              </w:rPr>
            </w:pPr>
            <w:r>
              <w:rPr>
                <w:rFonts w:ascii="Libre Franklin" w:hAnsi="Libre Franklin"/>
                <w:sz w:val="24"/>
                <w:szCs w:val="24"/>
              </w:rPr>
              <w:t>-5,625</w:t>
            </w:r>
          </w:p>
        </w:tc>
      </w:tr>
      <w:tr w:rsidR="00B641F3" w14:paraId="2A79B69A" w14:textId="77777777" w:rsidTr="0057200D">
        <w:trPr>
          <w:trHeight w:val="455"/>
        </w:trPr>
        <w:tc>
          <w:tcPr>
            <w:tcW w:w="5778" w:type="dxa"/>
            <w:tcBorders>
              <w:bottom w:val="single" w:sz="4" w:space="0" w:color="auto"/>
            </w:tcBorders>
            <w:vAlign w:val="center"/>
          </w:tcPr>
          <w:p w14:paraId="74C35064" w14:textId="681C3334" w:rsidR="00B641F3" w:rsidRDefault="0057200D" w:rsidP="000E0BAC">
            <w:pPr>
              <w:spacing w:line="300" w:lineRule="auto"/>
              <w:rPr>
                <w:rFonts w:ascii="Libre Franklin" w:hAnsi="Libre Franklin"/>
                <w:sz w:val="24"/>
                <w:szCs w:val="24"/>
              </w:rPr>
            </w:pPr>
            <w:r>
              <w:rPr>
                <w:rFonts w:ascii="Libre Franklin" w:hAnsi="Libre Franklin"/>
                <w:sz w:val="24"/>
                <w:szCs w:val="24"/>
              </w:rPr>
              <w:t>Total Occupied Space</w:t>
            </w:r>
          </w:p>
        </w:tc>
        <w:tc>
          <w:tcPr>
            <w:tcW w:w="2160" w:type="dxa"/>
            <w:tcBorders>
              <w:bottom w:val="single" w:sz="4" w:space="0" w:color="auto"/>
            </w:tcBorders>
            <w:vAlign w:val="center"/>
          </w:tcPr>
          <w:p w14:paraId="03F00843" w14:textId="09B2657E" w:rsidR="00B641F3" w:rsidRPr="00076070" w:rsidRDefault="0057200D" w:rsidP="0057200D">
            <w:pPr>
              <w:spacing w:line="300" w:lineRule="auto"/>
              <w:jc w:val="right"/>
              <w:rPr>
                <w:rFonts w:ascii="Libre Franklin" w:hAnsi="Libre Franklin"/>
                <w:sz w:val="24"/>
                <w:szCs w:val="24"/>
              </w:rPr>
            </w:pPr>
            <w:r>
              <w:rPr>
                <w:rFonts w:ascii="Libre Franklin" w:hAnsi="Libre Franklin"/>
                <w:sz w:val="24"/>
                <w:szCs w:val="24"/>
              </w:rPr>
              <w:t>18,775</w:t>
            </w:r>
          </w:p>
        </w:tc>
      </w:tr>
      <w:tr w:rsidR="00B641F3" w14:paraId="0E21EE1B" w14:textId="77777777" w:rsidTr="0057200D">
        <w:trPr>
          <w:trHeight w:val="455"/>
        </w:trPr>
        <w:tc>
          <w:tcPr>
            <w:tcW w:w="5778" w:type="dxa"/>
            <w:shd w:val="clear" w:color="auto" w:fill="008000"/>
            <w:vAlign w:val="center"/>
          </w:tcPr>
          <w:p w14:paraId="1A5EF7A2" w14:textId="49C5EDAB" w:rsidR="00B641F3" w:rsidRDefault="0057200D" w:rsidP="0057200D">
            <w:pPr>
              <w:spacing w:line="300" w:lineRule="auto"/>
              <w:rPr>
                <w:rFonts w:ascii="Libre Franklin" w:hAnsi="Libre Franklin"/>
                <w:sz w:val="24"/>
                <w:szCs w:val="24"/>
              </w:rPr>
            </w:pPr>
            <w:r>
              <w:rPr>
                <w:rFonts w:ascii="Libre Franklin" w:hAnsi="Libre Franklin"/>
                <w:sz w:val="24"/>
                <w:szCs w:val="24"/>
              </w:rPr>
              <w:t>Occupied with Access to Views without Avanti Partitions and walls (Green)</w:t>
            </w:r>
          </w:p>
        </w:tc>
        <w:tc>
          <w:tcPr>
            <w:tcW w:w="2160" w:type="dxa"/>
            <w:shd w:val="clear" w:color="auto" w:fill="008000"/>
            <w:vAlign w:val="center"/>
          </w:tcPr>
          <w:p w14:paraId="484EB27B" w14:textId="7FC784F7" w:rsidR="00B641F3" w:rsidRPr="00076070" w:rsidRDefault="0057200D" w:rsidP="0057200D">
            <w:pPr>
              <w:spacing w:line="300" w:lineRule="auto"/>
              <w:jc w:val="right"/>
              <w:rPr>
                <w:rFonts w:ascii="Libre Franklin" w:hAnsi="Libre Franklin"/>
                <w:sz w:val="24"/>
                <w:szCs w:val="24"/>
              </w:rPr>
            </w:pPr>
            <w:r>
              <w:rPr>
                <w:rFonts w:ascii="Libre Franklin" w:hAnsi="Libre Franklin"/>
                <w:sz w:val="24"/>
                <w:szCs w:val="24"/>
              </w:rPr>
              <w:t>15,175</w:t>
            </w:r>
          </w:p>
        </w:tc>
      </w:tr>
      <w:tr w:rsidR="00B641F3" w14:paraId="0C2B2C42" w14:textId="77777777" w:rsidTr="0057200D">
        <w:trPr>
          <w:trHeight w:val="455"/>
        </w:trPr>
        <w:tc>
          <w:tcPr>
            <w:tcW w:w="5778" w:type="dxa"/>
            <w:tcBorders>
              <w:bottom w:val="single" w:sz="4" w:space="0" w:color="auto"/>
            </w:tcBorders>
            <w:shd w:val="clear" w:color="auto" w:fill="008000"/>
            <w:vAlign w:val="center"/>
          </w:tcPr>
          <w:p w14:paraId="46B837FB" w14:textId="0C5106C0" w:rsidR="00B641F3" w:rsidRDefault="0057200D" w:rsidP="0057200D">
            <w:pPr>
              <w:spacing w:line="300" w:lineRule="auto"/>
              <w:rPr>
                <w:rFonts w:ascii="Libre Franklin" w:hAnsi="Libre Franklin"/>
                <w:sz w:val="24"/>
                <w:szCs w:val="24"/>
              </w:rPr>
            </w:pPr>
            <w:r>
              <w:rPr>
                <w:rFonts w:ascii="Libre Franklin" w:hAnsi="Libre Franklin"/>
                <w:sz w:val="24"/>
                <w:szCs w:val="24"/>
              </w:rPr>
              <w:t>Percent Access with Views</w:t>
            </w:r>
          </w:p>
        </w:tc>
        <w:tc>
          <w:tcPr>
            <w:tcW w:w="2160" w:type="dxa"/>
            <w:tcBorders>
              <w:bottom w:val="single" w:sz="4" w:space="0" w:color="auto"/>
            </w:tcBorders>
            <w:shd w:val="clear" w:color="auto" w:fill="008000"/>
            <w:vAlign w:val="center"/>
          </w:tcPr>
          <w:p w14:paraId="24487E8A" w14:textId="1A5014EA" w:rsidR="00B641F3" w:rsidRPr="00076070" w:rsidRDefault="0057200D" w:rsidP="0057200D">
            <w:pPr>
              <w:spacing w:line="300" w:lineRule="auto"/>
              <w:jc w:val="right"/>
              <w:rPr>
                <w:rFonts w:ascii="Libre Franklin" w:hAnsi="Libre Franklin"/>
                <w:sz w:val="24"/>
                <w:szCs w:val="24"/>
              </w:rPr>
            </w:pPr>
            <w:r>
              <w:rPr>
                <w:rFonts w:ascii="Libre Franklin" w:hAnsi="Libre Franklin"/>
                <w:sz w:val="24"/>
                <w:szCs w:val="24"/>
              </w:rPr>
              <w:t>81%</w:t>
            </w:r>
          </w:p>
        </w:tc>
      </w:tr>
      <w:tr w:rsidR="00B641F3" w14:paraId="0C064E4C" w14:textId="77777777" w:rsidTr="0057200D">
        <w:trPr>
          <w:trHeight w:val="455"/>
        </w:trPr>
        <w:tc>
          <w:tcPr>
            <w:tcW w:w="5778" w:type="dxa"/>
            <w:shd w:val="clear" w:color="auto" w:fill="FFFF00"/>
            <w:vAlign w:val="center"/>
          </w:tcPr>
          <w:p w14:paraId="6F4D9553" w14:textId="071DC747" w:rsidR="00B641F3" w:rsidRPr="0057200D" w:rsidRDefault="0057200D" w:rsidP="000E0BAC">
            <w:pPr>
              <w:spacing w:line="300" w:lineRule="auto"/>
              <w:rPr>
                <w:rFonts w:ascii="Libre Franklin" w:hAnsi="Libre Franklin"/>
                <w:sz w:val="24"/>
                <w:szCs w:val="24"/>
              </w:rPr>
            </w:pPr>
            <w:r w:rsidRPr="0057200D">
              <w:rPr>
                <w:rFonts w:ascii="Libre Franklin" w:hAnsi="Libre Franklin"/>
                <w:sz w:val="24"/>
                <w:szCs w:val="24"/>
              </w:rPr>
              <w:t>Occupied with Access to Views with Avanti Partitions and walls (Yellow)</w:t>
            </w:r>
          </w:p>
        </w:tc>
        <w:tc>
          <w:tcPr>
            <w:tcW w:w="2160" w:type="dxa"/>
            <w:shd w:val="clear" w:color="auto" w:fill="FFFF00"/>
            <w:vAlign w:val="center"/>
          </w:tcPr>
          <w:p w14:paraId="0E667795" w14:textId="0AAF8BBD" w:rsidR="00B641F3" w:rsidRPr="0057200D" w:rsidRDefault="0057200D" w:rsidP="0057200D">
            <w:pPr>
              <w:spacing w:line="300" w:lineRule="auto"/>
              <w:jc w:val="right"/>
              <w:rPr>
                <w:rFonts w:ascii="Libre Franklin" w:hAnsi="Libre Franklin"/>
                <w:sz w:val="24"/>
                <w:szCs w:val="24"/>
              </w:rPr>
            </w:pPr>
            <w:r w:rsidRPr="0057200D">
              <w:rPr>
                <w:rFonts w:ascii="Libre Franklin" w:hAnsi="Libre Franklin"/>
                <w:sz w:val="24"/>
                <w:szCs w:val="24"/>
              </w:rPr>
              <w:t>3,350</w:t>
            </w:r>
          </w:p>
        </w:tc>
      </w:tr>
      <w:tr w:rsidR="00B641F3" w14:paraId="22978043" w14:textId="77777777" w:rsidTr="0057200D">
        <w:trPr>
          <w:trHeight w:val="455"/>
        </w:trPr>
        <w:tc>
          <w:tcPr>
            <w:tcW w:w="5778" w:type="dxa"/>
            <w:shd w:val="clear" w:color="auto" w:fill="FFFF00"/>
            <w:vAlign w:val="center"/>
          </w:tcPr>
          <w:p w14:paraId="68F671CE" w14:textId="45867C66" w:rsidR="00B641F3" w:rsidRPr="0057200D" w:rsidRDefault="0057200D" w:rsidP="000E0BAC">
            <w:pPr>
              <w:spacing w:line="300" w:lineRule="auto"/>
              <w:rPr>
                <w:rFonts w:ascii="Libre Franklin" w:hAnsi="Libre Franklin"/>
                <w:sz w:val="24"/>
                <w:szCs w:val="24"/>
              </w:rPr>
            </w:pPr>
            <w:r w:rsidRPr="0057200D">
              <w:rPr>
                <w:rFonts w:ascii="Libre Franklin" w:hAnsi="Libre Franklin"/>
                <w:sz w:val="24"/>
                <w:szCs w:val="24"/>
              </w:rPr>
              <w:t>Percent Access with Views</w:t>
            </w:r>
          </w:p>
        </w:tc>
        <w:tc>
          <w:tcPr>
            <w:tcW w:w="2160" w:type="dxa"/>
            <w:shd w:val="clear" w:color="auto" w:fill="FFFF00"/>
            <w:vAlign w:val="center"/>
          </w:tcPr>
          <w:p w14:paraId="5178CE84" w14:textId="76F5A9A5" w:rsidR="00B641F3" w:rsidRPr="0057200D" w:rsidRDefault="0057200D" w:rsidP="0057200D">
            <w:pPr>
              <w:spacing w:line="300" w:lineRule="auto"/>
              <w:jc w:val="right"/>
              <w:rPr>
                <w:rFonts w:ascii="Libre Franklin" w:hAnsi="Libre Franklin"/>
                <w:sz w:val="24"/>
                <w:szCs w:val="24"/>
              </w:rPr>
            </w:pPr>
            <w:r w:rsidRPr="0057200D">
              <w:rPr>
                <w:rFonts w:ascii="Libre Franklin" w:hAnsi="Libre Franklin"/>
                <w:sz w:val="24"/>
                <w:szCs w:val="24"/>
              </w:rPr>
              <w:t>18%</w:t>
            </w:r>
          </w:p>
        </w:tc>
      </w:tr>
    </w:tbl>
    <w:p w14:paraId="3C5B2E2F" w14:textId="77777777" w:rsidR="00AF0EF6" w:rsidRPr="00B641F3" w:rsidRDefault="00AF0EF6" w:rsidP="00DB3C87">
      <w:pPr>
        <w:spacing w:line="300" w:lineRule="auto"/>
        <w:ind w:left="1080" w:hanging="180"/>
        <w:jc w:val="both"/>
        <w:rPr>
          <w:rFonts w:ascii="Libre Franklin" w:hAnsi="Libre Franklin"/>
          <w:sz w:val="24"/>
          <w:szCs w:val="24"/>
        </w:rPr>
      </w:pPr>
    </w:p>
    <w:p w14:paraId="11079F56"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C786D0C"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2FC5826" w14:textId="5128336B" w:rsidR="00AF0EF6" w:rsidRDefault="00AF0EF6" w:rsidP="00DB3C87">
      <w:pPr>
        <w:spacing w:line="300" w:lineRule="auto"/>
        <w:ind w:left="1080" w:hanging="180"/>
        <w:jc w:val="both"/>
        <w:rPr>
          <w:rFonts w:ascii="Libre Franklin" w:hAnsi="Libre Franklin"/>
          <w:sz w:val="24"/>
          <w:szCs w:val="24"/>
          <w:vertAlign w:val="superscript"/>
        </w:rPr>
      </w:pPr>
    </w:p>
    <w:p w14:paraId="602F9082" w14:textId="77777777" w:rsidR="00AF0EF6" w:rsidRPr="00173E8B" w:rsidRDefault="00AF0EF6" w:rsidP="00DB3C87">
      <w:pPr>
        <w:spacing w:line="300" w:lineRule="auto"/>
        <w:ind w:left="1080" w:hanging="180"/>
        <w:jc w:val="both"/>
        <w:rPr>
          <w:rFonts w:ascii="Libre Franklin" w:hAnsi="Libre Franklin"/>
          <w:sz w:val="24"/>
          <w:szCs w:val="24"/>
        </w:rPr>
      </w:pPr>
    </w:p>
    <w:p w14:paraId="1BC7A31F" w14:textId="6F2E38E1" w:rsidR="00AF0EF6" w:rsidRDefault="00AF0EF6" w:rsidP="00DB3C87">
      <w:pPr>
        <w:spacing w:line="300" w:lineRule="auto"/>
        <w:ind w:left="1080" w:hanging="180"/>
        <w:jc w:val="both"/>
        <w:rPr>
          <w:rFonts w:ascii="Libre Franklin" w:hAnsi="Libre Franklin"/>
          <w:sz w:val="24"/>
          <w:szCs w:val="24"/>
          <w:vertAlign w:val="superscript"/>
        </w:rPr>
      </w:pPr>
    </w:p>
    <w:p w14:paraId="1CAD2B8A" w14:textId="77777777" w:rsidR="00173E8B" w:rsidRDefault="00173E8B" w:rsidP="00DB3C87">
      <w:pPr>
        <w:spacing w:line="300" w:lineRule="auto"/>
        <w:ind w:left="1080" w:hanging="180"/>
        <w:jc w:val="both"/>
        <w:rPr>
          <w:rFonts w:ascii="Libre Franklin" w:hAnsi="Libre Franklin"/>
          <w:sz w:val="24"/>
          <w:szCs w:val="24"/>
          <w:vertAlign w:val="superscript"/>
        </w:rPr>
      </w:pPr>
    </w:p>
    <w:p w14:paraId="3A6C063B" w14:textId="77777777" w:rsidR="00173E8B" w:rsidRDefault="00173E8B" w:rsidP="00DB3C87">
      <w:pPr>
        <w:spacing w:line="300" w:lineRule="auto"/>
        <w:ind w:left="1080" w:hanging="180"/>
        <w:jc w:val="both"/>
        <w:rPr>
          <w:rFonts w:ascii="Libre Franklin" w:hAnsi="Libre Franklin"/>
          <w:sz w:val="24"/>
          <w:szCs w:val="24"/>
          <w:vertAlign w:val="superscript"/>
        </w:rPr>
      </w:pPr>
    </w:p>
    <w:p w14:paraId="5D37C8A5" w14:textId="40AE30DB" w:rsidR="00173E8B" w:rsidRDefault="00E75AFB" w:rsidP="00E75AFB">
      <w:pPr>
        <w:spacing w:line="300" w:lineRule="auto"/>
        <w:ind w:left="1530" w:hanging="630"/>
        <w:jc w:val="both"/>
        <w:rPr>
          <w:rFonts w:ascii="Libre Franklin" w:hAnsi="Libre Franklin"/>
          <w:sz w:val="24"/>
          <w:szCs w:val="24"/>
          <w:vertAlign w:val="superscript"/>
        </w:rPr>
      </w:pPr>
      <w:r>
        <w:rPr>
          <w:rFonts w:ascii="Libre Franklin" w:hAnsi="Libre Franklin"/>
          <w:sz w:val="24"/>
          <w:szCs w:val="24"/>
          <w:vertAlign w:val="superscript"/>
        </w:rPr>
        <w:tab/>
      </w:r>
      <w:r w:rsidR="0057200D">
        <w:rPr>
          <w:rFonts w:ascii="Libre Franklin" w:hAnsi="Libre Franklin"/>
          <w:sz w:val="24"/>
          <w:szCs w:val="24"/>
          <w:vertAlign w:val="superscript"/>
        </w:rPr>
        <w:t>Figure 2</w:t>
      </w:r>
      <w:r>
        <w:rPr>
          <w:rFonts w:ascii="Libre Franklin" w:hAnsi="Libre Franklin"/>
          <w:sz w:val="24"/>
          <w:szCs w:val="24"/>
          <w:vertAlign w:val="superscript"/>
        </w:rPr>
        <w:t xml:space="preserve">.  </w:t>
      </w:r>
      <w:r w:rsidR="0057200D">
        <w:rPr>
          <w:rFonts w:ascii="Libre Franklin" w:hAnsi="Libre Franklin"/>
          <w:sz w:val="24"/>
          <w:szCs w:val="24"/>
          <w:vertAlign w:val="superscript"/>
        </w:rPr>
        <w:t>Calculation for EQc8.2</w:t>
      </w:r>
    </w:p>
    <w:p w14:paraId="429CC018" w14:textId="54BBB98E" w:rsidR="00EB7D7F" w:rsidRDefault="00EB7D7F" w:rsidP="00DB3C87">
      <w:pPr>
        <w:spacing w:line="300" w:lineRule="auto"/>
        <w:ind w:left="1080" w:hanging="180"/>
        <w:jc w:val="both"/>
        <w:rPr>
          <w:rFonts w:ascii="Libre Franklin" w:hAnsi="Libre Franklin"/>
          <w:sz w:val="24"/>
          <w:szCs w:val="24"/>
          <w:vertAlign w:val="superscript"/>
        </w:rPr>
      </w:pPr>
    </w:p>
    <w:p w14:paraId="5797C85B" w14:textId="29C13E8F" w:rsidR="005D4301" w:rsidRPr="005D4301" w:rsidRDefault="005D4301" w:rsidP="00DB3C87">
      <w:pPr>
        <w:spacing w:line="300" w:lineRule="auto"/>
        <w:ind w:left="1080" w:hanging="180"/>
        <w:jc w:val="both"/>
        <w:rPr>
          <w:rFonts w:ascii="Libre Franklin" w:hAnsi="Libre Franklin"/>
          <w:sz w:val="24"/>
          <w:szCs w:val="24"/>
        </w:rPr>
      </w:pPr>
      <w:r>
        <w:rPr>
          <w:rFonts w:ascii="Libre Franklin" w:hAnsi="Libre Franklin"/>
          <w:sz w:val="24"/>
          <w:szCs w:val="24"/>
          <w:vertAlign w:val="superscript"/>
        </w:rPr>
        <w:tab/>
      </w:r>
      <w:bookmarkStart w:id="0" w:name="_GoBack"/>
      <w:bookmarkEnd w:id="0"/>
    </w:p>
    <w:p w14:paraId="5CEE39E4" w14:textId="5F1EBE8D" w:rsidR="006446B8" w:rsidRPr="003E6677" w:rsidRDefault="006446B8" w:rsidP="003E6677">
      <w:pPr>
        <w:tabs>
          <w:tab w:val="left" w:pos="1080"/>
        </w:tabs>
        <w:spacing w:line="300" w:lineRule="auto"/>
        <w:ind w:left="990" w:firstLine="450"/>
        <w:jc w:val="both"/>
        <w:rPr>
          <w:rFonts w:ascii="Libre Franklin" w:hAnsi="Libre Franklin"/>
          <w:sz w:val="24"/>
          <w:szCs w:val="24"/>
        </w:rPr>
      </w:pPr>
    </w:p>
    <w:sectPr w:rsidR="006446B8" w:rsidRPr="003E6677" w:rsidSect="00D83028">
      <w:headerReference w:type="default" r:id="rId10"/>
      <w:footerReference w:type="even" r:id="rId11"/>
      <w:footerReference w:type="default" r:id="rId12"/>
      <w:pgSz w:w="12240" w:h="15840"/>
      <w:pgMar w:top="720" w:right="450" w:bottom="720" w:left="72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8043" w14:textId="77777777" w:rsidR="0057200D" w:rsidRDefault="0057200D" w:rsidP="00155D32">
      <w:pPr>
        <w:spacing w:after="0" w:line="240" w:lineRule="auto"/>
      </w:pPr>
      <w:r>
        <w:separator/>
      </w:r>
    </w:p>
  </w:endnote>
  <w:endnote w:type="continuationSeparator" w:id="0">
    <w:p w14:paraId="08C5FBE7" w14:textId="77777777" w:rsidR="0057200D" w:rsidRDefault="0057200D" w:rsidP="0015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C11D" w14:textId="77777777" w:rsidR="0057200D" w:rsidRDefault="0057200D">
    <w:pPr>
      <w:pStyle w:val="Footer"/>
    </w:pPr>
    <w:sdt>
      <w:sdtPr>
        <w:id w:val="969400743"/>
        <w:placeholder>
          <w:docPart w:val="C66380A2A7AA1E40B05AEE233819FCCA"/>
        </w:placeholder>
        <w:temporary/>
        <w:showingPlcHdr/>
      </w:sdtPr>
      <w:sdtContent>
        <w:r>
          <w:t>[Type text]</w:t>
        </w:r>
      </w:sdtContent>
    </w:sdt>
    <w:r>
      <w:ptab w:relativeTo="margin" w:alignment="center" w:leader="none"/>
    </w:r>
    <w:sdt>
      <w:sdtPr>
        <w:id w:val="969400748"/>
        <w:placeholder>
          <w:docPart w:val="7F5BA6B12B4AD1418E495FA6825D9E0B"/>
        </w:placeholder>
        <w:temporary/>
        <w:showingPlcHdr/>
      </w:sdtPr>
      <w:sdtContent>
        <w:r>
          <w:t>[Type text]</w:t>
        </w:r>
      </w:sdtContent>
    </w:sdt>
    <w:r>
      <w:ptab w:relativeTo="margin" w:alignment="right" w:leader="none"/>
    </w:r>
    <w:sdt>
      <w:sdtPr>
        <w:id w:val="969400753"/>
        <w:placeholder>
          <w:docPart w:val="F75BC4FE50F2514DAA9AA1B59581146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3E92" w14:textId="77777777" w:rsidR="0057200D" w:rsidRDefault="0057200D">
    <w:pPr>
      <w:pStyle w:val="Footer"/>
    </w:pPr>
    <w:r>
      <w:rPr>
        <w:noProof/>
      </w:rPr>
      <w:drawing>
        <wp:anchor distT="0" distB="0" distL="114300" distR="114300" simplePos="0" relativeHeight="251659264" behindDoc="1" locked="0" layoutInCell="1" allowOverlap="1" wp14:anchorId="326E0D00" wp14:editId="27451DB7">
          <wp:simplePos x="0" y="0"/>
          <wp:positionH relativeFrom="margin">
            <wp:posOffset>439194</wp:posOffset>
          </wp:positionH>
          <wp:positionV relativeFrom="margin">
            <wp:posOffset>8536176</wp:posOffset>
          </wp:positionV>
          <wp:extent cx="6858000" cy="567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7055"/>
                  </a:xfrm>
                  <a:prstGeom prst="rect">
                    <a:avLst/>
                  </a:prstGeom>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57928" w14:textId="77777777" w:rsidR="0057200D" w:rsidRDefault="0057200D" w:rsidP="00155D32">
      <w:pPr>
        <w:spacing w:after="0" w:line="240" w:lineRule="auto"/>
      </w:pPr>
      <w:r>
        <w:separator/>
      </w:r>
    </w:p>
  </w:footnote>
  <w:footnote w:type="continuationSeparator" w:id="0">
    <w:p w14:paraId="45FAD81C" w14:textId="77777777" w:rsidR="0057200D" w:rsidRDefault="0057200D" w:rsidP="00155D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3735" w14:textId="42FE1471" w:rsidR="0057200D" w:rsidRPr="00030A49" w:rsidRDefault="0057200D" w:rsidP="00030A49">
    <w:pPr>
      <w:pStyle w:val="Header"/>
      <w:ind w:firstLine="900"/>
      <w:rPr>
        <w:rFonts w:ascii="Libre Franklin Medium Italic" w:hAnsi="Libre Franklin Medium Italic"/>
      </w:rPr>
    </w:pPr>
    <w:r w:rsidRPr="00030A49">
      <w:rPr>
        <w:rFonts w:ascii="Libre Franklin Medium Italic" w:hAnsi="Libre Franklin Medium Italic"/>
        <w:noProof/>
        <w:sz w:val="40"/>
        <w:szCs w:val="40"/>
      </w:rPr>
      <w:drawing>
        <wp:anchor distT="0" distB="0" distL="114300" distR="114300" simplePos="0" relativeHeight="251658240" behindDoc="1" locked="0" layoutInCell="1" allowOverlap="1" wp14:anchorId="414EFC64" wp14:editId="7FD8C082">
          <wp:simplePos x="0" y="0"/>
          <wp:positionH relativeFrom="margin">
            <wp:posOffset>6394722</wp:posOffset>
          </wp:positionH>
          <wp:positionV relativeFrom="margin">
            <wp:posOffset>-681355</wp:posOffset>
          </wp:positionV>
          <wp:extent cx="880647"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 Avanti-Logo-Proof-to-mail.gif"/>
                  <pic:cNvPicPr/>
                </pic:nvPicPr>
                <pic:blipFill>
                  <a:blip r:embed="rId1">
                    <a:extLst>
                      <a:ext uri="{28A0092B-C50C-407E-A947-70E740481C1C}">
                        <a14:useLocalDpi xmlns:a14="http://schemas.microsoft.com/office/drawing/2010/main" val="0"/>
                      </a:ext>
                    </a:extLst>
                  </a:blip>
                  <a:stretch>
                    <a:fillRect/>
                  </a:stretch>
                </pic:blipFill>
                <pic:spPr>
                  <a:xfrm>
                    <a:off x="0" y="0"/>
                    <a:ext cx="880647" cy="914400"/>
                  </a:xfrm>
                  <a:prstGeom prst="rect">
                    <a:avLst/>
                  </a:prstGeom>
                </pic:spPr>
              </pic:pic>
            </a:graphicData>
          </a:graphic>
          <wp14:sizeRelH relativeFrom="margin">
            <wp14:pctWidth>0</wp14:pctWidth>
          </wp14:sizeRelH>
          <wp14:sizeRelV relativeFrom="margin">
            <wp14:pctHeight>0</wp14:pctHeight>
          </wp14:sizeRelV>
        </wp:anchor>
      </w:drawing>
    </w:r>
    <w:r>
      <w:rPr>
        <w:rFonts w:ascii="Libre Franklin Medium Italic" w:hAnsi="Libre Franklin Medium Italic"/>
        <w:noProof/>
        <w:sz w:val="40"/>
        <w:szCs w:val="40"/>
      </w:rPr>
      <w:t>Daylight and Views - views</w:t>
    </w:r>
    <w:r w:rsidRPr="00030A49">
      <w:rPr>
        <w:rFonts w:ascii="Libre Franklin Medium Italic" w:hAnsi="Libre Franklin Medium Italic"/>
        <w:noProof/>
        <w:sz w:val="40"/>
        <w:szCs w:val="4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8FF"/>
    <w:multiLevelType w:val="hybridMultilevel"/>
    <w:tmpl w:val="08B093FC"/>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7CC4017"/>
    <w:multiLevelType w:val="hybridMultilevel"/>
    <w:tmpl w:val="0694BB8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443088D"/>
    <w:multiLevelType w:val="hybridMultilevel"/>
    <w:tmpl w:val="6FD0E1EA"/>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3">
    <w:nsid w:val="23DE3AE8"/>
    <w:multiLevelType w:val="hybridMultilevel"/>
    <w:tmpl w:val="8DAC94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BE779F4"/>
    <w:multiLevelType w:val="hybridMultilevel"/>
    <w:tmpl w:val="107CE4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E5946FB"/>
    <w:multiLevelType w:val="hybridMultilevel"/>
    <w:tmpl w:val="90626B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9"/>
    <w:rsid w:val="00012124"/>
    <w:rsid w:val="00030A49"/>
    <w:rsid w:val="000329CE"/>
    <w:rsid w:val="00057082"/>
    <w:rsid w:val="000607C7"/>
    <w:rsid w:val="00076070"/>
    <w:rsid w:val="00091C52"/>
    <w:rsid w:val="000A1A3D"/>
    <w:rsid w:val="000B479E"/>
    <w:rsid w:val="000C1EFD"/>
    <w:rsid w:val="000D1FF5"/>
    <w:rsid w:val="000D7F49"/>
    <w:rsid w:val="000E049C"/>
    <w:rsid w:val="000E0BAC"/>
    <w:rsid w:val="001025B5"/>
    <w:rsid w:val="00125E9D"/>
    <w:rsid w:val="001309E3"/>
    <w:rsid w:val="001324BC"/>
    <w:rsid w:val="001338DE"/>
    <w:rsid w:val="00155D32"/>
    <w:rsid w:val="00163DCE"/>
    <w:rsid w:val="00173E8B"/>
    <w:rsid w:val="00185EA8"/>
    <w:rsid w:val="001866A5"/>
    <w:rsid w:val="001F0843"/>
    <w:rsid w:val="00205530"/>
    <w:rsid w:val="00235F51"/>
    <w:rsid w:val="002454BA"/>
    <w:rsid w:val="00252D25"/>
    <w:rsid w:val="00257FCB"/>
    <w:rsid w:val="00271275"/>
    <w:rsid w:val="00273531"/>
    <w:rsid w:val="002D4A6E"/>
    <w:rsid w:val="002E5649"/>
    <w:rsid w:val="002F3933"/>
    <w:rsid w:val="00302EF6"/>
    <w:rsid w:val="00333453"/>
    <w:rsid w:val="00367E7F"/>
    <w:rsid w:val="003B6EA6"/>
    <w:rsid w:val="003E6677"/>
    <w:rsid w:val="00400539"/>
    <w:rsid w:val="00404E46"/>
    <w:rsid w:val="00445463"/>
    <w:rsid w:val="00456DDF"/>
    <w:rsid w:val="00463200"/>
    <w:rsid w:val="004653FB"/>
    <w:rsid w:val="004724D1"/>
    <w:rsid w:val="004759B5"/>
    <w:rsid w:val="00482C38"/>
    <w:rsid w:val="00490E20"/>
    <w:rsid w:val="00496F8B"/>
    <w:rsid w:val="004A00F1"/>
    <w:rsid w:val="004D15CA"/>
    <w:rsid w:val="004D3DF0"/>
    <w:rsid w:val="004E1AF3"/>
    <w:rsid w:val="004F0655"/>
    <w:rsid w:val="004F25EA"/>
    <w:rsid w:val="004F2EEA"/>
    <w:rsid w:val="005125BF"/>
    <w:rsid w:val="0055693A"/>
    <w:rsid w:val="0057200D"/>
    <w:rsid w:val="00572513"/>
    <w:rsid w:val="0059073F"/>
    <w:rsid w:val="00594369"/>
    <w:rsid w:val="005A1041"/>
    <w:rsid w:val="005B0CA2"/>
    <w:rsid w:val="005B5677"/>
    <w:rsid w:val="005D4301"/>
    <w:rsid w:val="005E5E2D"/>
    <w:rsid w:val="005F2212"/>
    <w:rsid w:val="005F7C02"/>
    <w:rsid w:val="00604ACB"/>
    <w:rsid w:val="00623A08"/>
    <w:rsid w:val="006446B8"/>
    <w:rsid w:val="00665558"/>
    <w:rsid w:val="00666184"/>
    <w:rsid w:val="00670B15"/>
    <w:rsid w:val="006D01EA"/>
    <w:rsid w:val="006D04B9"/>
    <w:rsid w:val="006D7A0F"/>
    <w:rsid w:val="00711DCA"/>
    <w:rsid w:val="007267FB"/>
    <w:rsid w:val="00730678"/>
    <w:rsid w:val="00732409"/>
    <w:rsid w:val="0073389A"/>
    <w:rsid w:val="00736869"/>
    <w:rsid w:val="0073704A"/>
    <w:rsid w:val="007673E9"/>
    <w:rsid w:val="00773769"/>
    <w:rsid w:val="00781B25"/>
    <w:rsid w:val="00787AAA"/>
    <w:rsid w:val="007B245C"/>
    <w:rsid w:val="007B3C6C"/>
    <w:rsid w:val="007D3E50"/>
    <w:rsid w:val="007D49DA"/>
    <w:rsid w:val="00806351"/>
    <w:rsid w:val="00816878"/>
    <w:rsid w:val="00860804"/>
    <w:rsid w:val="008854E3"/>
    <w:rsid w:val="00887EFE"/>
    <w:rsid w:val="008B5FE9"/>
    <w:rsid w:val="008D02FB"/>
    <w:rsid w:val="008D262C"/>
    <w:rsid w:val="008E0AC0"/>
    <w:rsid w:val="0090778E"/>
    <w:rsid w:val="00914066"/>
    <w:rsid w:val="00916F66"/>
    <w:rsid w:val="009226D2"/>
    <w:rsid w:val="0093306F"/>
    <w:rsid w:val="00970739"/>
    <w:rsid w:val="00981625"/>
    <w:rsid w:val="00985F67"/>
    <w:rsid w:val="009A333B"/>
    <w:rsid w:val="009A4B68"/>
    <w:rsid w:val="009C1789"/>
    <w:rsid w:val="009D46A6"/>
    <w:rsid w:val="00A06806"/>
    <w:rsid w:val="00A06BC1"/>
    <w:rsid w:val="00A21FC2"/>
    <w:rsid w:val="00A52728"/>
    <w:rsid w:val="00A55CC6"/>
    <w:rsid w:val="00A7405E"/>
    <w:rsid w:val="00A86924"/>
    <w:rsid w:val="00A95EAB"/>
    <w:rsid w:val="00AD4924"/>
    <w:rsid w:val="00AF0EF6"/>
    <w:rsid w:val="00AF2755"/>
    <w:rsid w:val="00B40EDC"/>
    <w:rsid w:val="00B45DF4"/>
    <w:rsid w:val="00B56289"/>
    <w:rsid w:val="00B641F3"/>
    <w:rsid w:val="00B67C43"/>
    <w:rsid w:val="00B73B22"/>
    <w:rsid w:val="00B81253"/>
    <w:rsid w:val="00B822BA"/>
    <w:rsid w:val="00B8753B"/>
    <w:rsid w:val="00BB101B"/>
    <w:rsid w:val="00BB2B80"/>
    <w:rsid w:val="00BB52E5"/>
    <w:rsid w:val="00BD5FEB"/>
    <w:rsid w:val="00BF14C7"/>
    <w:rsid w:val="00C02925"/>
    <w:rsid w:val="00C06A86"/>
    <w:rsid w:val="00C1353F"/>
    <w:rsid w:val="00C1456E"/>
    <w:rsid w:val="00C20311"/>
    <w:rsid w:val="00C23009"/>
    <w:rsid w:val="00C416C4"/>
    <w:rsid w:val="00C619CD"/>
    <w:rsid w:val="00CB1159"/>
    <w:rsid w:val="00CB78EB"/>
    <w:rsid w:val="00CD0950"/>
    <w:rsid w:val="00CD2579"/>
    <w:rsid w:val="00CD3021"/>
    <w:rsid w:val="00CD6F64"/>
    <w:rsid w:val="00CE7F6A"/>
    <w:rsid w:val="00CF1B1B"/>
    <w:rsid w:val="00D30A2E"/>
    <w:rsid w:val="00D470A0"/>
    <w:rsid w:val="00D47545"/>
    <w:rsid w:val="00D6134B"/>
    <w:rsid w:val="00D67B45"/>
    <w:rsid w:val="00D70AFD"/>
    <w:rsid w:val="00D754A1"/>
    <w:rsid w:val="00D76CB7"/>
    <w:rsid w:val="00D7786F"/>
    <w:rsid w:val="00D83028"/>
    <w:rsid w:val="00D928D6"/>
    <w:rsid w:val="00D96421"/>
    <w:rsid w:val="00DB2970"/>
    <w:rsid w:val="00DB3C87"/>
    <w:rsid w:val="00DD6B23"/>
    <w:rsid w:val="00DF0A35"/>
    <w:rsid w:val="00E030B3"/>
    <w:rsid w:val="00E151BF"/>
    <w:rsid w:val="00E20801"/>
    <w:rsid w:val="00E264FF"/>
    <w:rsid w:val="00E33D09"/>
    <w:rsid w:val="00E569AB"/>
    <w:rsid w:val="00E57657"/>
    <w:rsid w:val="00E75AFB"/>
    <w:rsid w:val="00E872C3"/>
    <w:rsid w:val="00EB7D7F"/>
    <w:rsid w:val="00EC2C43"/>
    <w:rsid w:val="00EC7439"/>
    <w:rsid w:val="00F224CF"/>
    <w:rsid w:val="00F41714"/>
    <w:rsid w:val="00F53DB6"/>
    <w:rsid w:val="00F65183"/>
    <w:rsid w:val="00F9713F"/>
    <w:rsid w:val="00FC6C60"/>
    <w:rsid w:val="00FC7BE0"/>
    <w:rsid w:val="00FD1F7B"/>
    <w:rsid w:val="00FE3589"/>
    <w:rsid w:val="00FE4B47"/>
    <w:rsid w:val="00FF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7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380A2A7AA1E40B05AEE233819FCCA"/>
        <w:category>
          <w:name w:val="General"/>
          <w:gallery w:val="placeholder"/>
        </w:category>
        <w:types>
          <w:type w:val="bbPlcHdr"/>
        </w:types>
        <w:behaviors>
          <w:behavior w:val="content"/>
        </w:behaviors>
        <w:guid w:val="{AB034348-DC26-FE4A-AE8B-3DA7E7BAC797}"/>
      </w:docPartPr>
      <w:docPartBody>
        <w:p w:rsidR="00157D93" w:rsidRDefault="004D43B3" w:rsidP="004D43B3">
          <w:pPr>
            <w:pStyle w:val="C66380A2A7AA1E40B05AEE233819FCCA"/>
          </w:pPr>
          <w:r>
            <w:t>[Type text]</w:t>
          </w:r>
        </w:p>
      </w:docPartBody>
    </w:docPart>
    <w:docPart>
      <w:docPartPr>
        <w:name w:val="7F5BA6B12B4AD1418E495FA6825D9E0B"/>
        <w:category>
          <w:name w:val="General"/>
          <w:gallery w:val="placeholder"/>
        </w:category>
        <w:types>
          <w:type w:val="bbPlcHdr"/>
        </w:types>
        <w:behaviors>
          <w:behavior w:val="content"/>
        </w:behaviors>
        <w:guid w:val="{8C2BFC21-ACB4-0C42-9BEE-8F43D7548FD0}"/>
      </w:docPartPr>
      <w:docPartBody>
        <w:p w:rsidR="00157D93" w:rsidRDefault="004D43B3" w:rsidP="004D43B3">
          <w:pPr>
            <w:pStyle w:val="7F5BA6B12B4AD1418E495FA6825D9E0B"/>
          </w:pPr>
          <w:r>
            <w:t>[Type text]</w:t>
          </w:r>
        </w:p>
      </w:docPartBody>
    </w:docPart>
    <w:docPart>
      <w:docPartPr>
        <w:name w:val="F75BC4FE50F2514DAA9AA1B595811460"/>
        <w:category>
          <w:name w:val="General"/>
          <w:gallery w:val="placeholder"/>
        </w:category>
        <w:types>
          <w:type w:val="bbPlcHdr"/>
        </w:types>
        <w:behaviors>
          <w:behavior w:val="content"/>
        </w:behaviors>
        <w:guid w:val="{B1E30DAA-EF11-0E4F-AADD-B52DDCDECF86}"/>
      </w:docPartPr>
      <w:docPartBody>
        <w:p w:rsidR="00157D93" w:rsidRDefault="004D43B3" w:rsidP="004D43B3">
          <w:pPr>
            <w:pStyle w:val="F75BC4FE50F2514DAA9AA1B5958114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B3"/>
    <w:rsid w:val="00157D93"/>
    <w:rsid w:val="004D43B3"/>
    <w:rsid w:val="008A7036"/>
    <w:rsid w:val="009C3130"/>
    <w:rsid w:val="00B1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5A58-D711-9D4A-B154-4A82E86E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582</Words>
  <Characters>3321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Hawranick</cp:lastModifiedBy>
  <cp:revision>3</cp:revision>
  <cp:lastPrinted>2017-07-18T14:45:00Z</cp:lastPrinted>
  <dcterms:created xsi:type="dcterms:W3CDTF">2017-07-18T14:56:00Z</dcterms:created>
  <dcterms:modified xsi:type="dcterms:W3CDTF">2017-07-18T16:17:00Z</dcterms:modified>
</cp:coreProperties>
</file>