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41D58448">
                <wp:simplePos x="0" y="0"/>
                <wp:positionH relativeFrom="column">
                  <wp:posOffset>-215900</wp:posOffset>
                </wp:positionH>
                <wp:positionV relativeFrom="paragraph">
                  <wp:posOffset>123039</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7pt" to="496.8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6BAE445D"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LEED 2009 – MRc3, LEEDv4 – Building-Life Cycle Impact Reduction, Option 3</w:t>
      </w:r>
      <w:r w:rsidR="00030A49" w:rsidRPr="000D7F49">
        <w:rPr>
          <w:rFonts w:ascii="Libre Franklin Medium Italic" w:hAnsi="Libre Franklin Medium Italic"/>
          <w:sz w:val="28"/>
          <w:szCs w:val="28"/>
        </w:rPr>
        <w:tab/>
      </w:r>
    </w:p>
    <w:p w14:paraId="43E699A1" w14:textId="0D6FE316"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p>
    <w:p w14:paraId="6A8F218C" w14:textId="4F39605B" w:rsidR="00030A49" w:rsidRDefault="00076070"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Use salvaged, refurbished or reused materials, the sum of which constitutes at least 5% or 10%, based on cost of the total value of materials on the project</w:t>
      </w:r>
      <w:r w:rsidR="00030A49">
        <w:rPr>
          <w:rFonts w:ascii="Libre Franklin" w:hAnsi="Libre Franklin"/>
          <w:sz w:val="24"/>
          <w:szCs w:val="24"/>
        </w:rPr>
        <w:t>.</w:t>
      </w:r>
      <w:r>
        <w:rPr>
          <w:rFonts w:ascii="Libre Franklin" w:hAnsi="Libre Franklin"/>
          <w:sz w:val="24"/>
          <w:szCs w:val="24"/>
        </w:rPr>
        <w:t xml:space="preserve">  The minimum percentage materials reused for each point threshold is as follows:</w:t>
      </w:r>
    </w:p>
    <w:tbl>
      <w:tblPr>
        <w:tblStyle w:val="TableGrid"/>
        <w:tblpPr w:leftFromText="180" w:rightFromText="180" w:vertAnchor="text" w:horzAnchor="page" w:tblpX="1738" w:tblpY="111"/>
        <w:tblW w:w="0" w:type="auto"/>
        <w:tblLook w:val="04A0" w:firstRow="1" w:lastRow="0" w:firstColumn="1" w:lastColumn="0" w:noHBand="0" w:noVBand="1"/>
      </w:tblPr>
      <w:tblGrid>
        <w:gridCol w:w="2970"/>
        <w:gridCol w:w="2700"/>
      </w:tblGrid>
      <w:tr w:rsidR="003B6EA6" w14:paraId="1F4B78C9" w14:textId="77777777" w:rsidTr="00257FCB">
        <w:trPr>
          <w:trHeight w:val="432"/>
        </w:trPr>
        <w:tc>
          <w:tcPr>
            <w:tcW w:w="2970" w:type="dxa"/>
            <w:shd w:val="clear" w:color="auto" w:fill="73A238"/>
            <w:vAlign w:val="center"/>
          </w:tcPr>
          <w:p w14:paraId="24DACF27"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Reused Materials</w:t>
            </w:r>
          </w:p>
        </w:tc>
        <w:tc>
          <w:tcPr>
            <w:tcW w:w="2700" w:type="dxa"/>
            <w:shd w:val="clear" w:color="auto" w:fill="73A238"/>
            <w:vAlign w:val="center"/>
          </w:tcPr>
          <w:p w14:paraId="7949CD07"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Points</w:t>
            </w:r>
          </w:p>
        </w:tc>
      </w:tr>
      <w:tr w:rsidR="003B6EA6" w14:paraId="458BB109" w14:textId="77777777" w:rsidTr="003B6EA6">
        <w:trPr>
          <w:trHeight w:val="432"/>
        </w:trPr>
        <w:tc>
          <w:tcPr>
            <w:tcW w:w="2970" w:type="dxa"/>
            <w:vAlign w:val="center"/>
          </w:tcPr>
          <w:p w14:paraId="2D657895"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5%</w:t>
            </w:r>
          </w:p>
        </w:tc>
        <w:tc>
          <w:tcPr>
            <w:tcW w:w="2700" w:type="dxa"/>
            <w:vAlign w:val="center"/>
          </w:tcPr>
          <w:p w14:paraId="28CFC37F"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1</w:t>
            </w:r>
          </w:p>
        </w:tc>
      </w:tr>
      <w:tr w:rsidR="003B6EA6" w14:paraId="2ADFF2FE" w14:textId="77777777" w:rsidTr="003B6EA6">
        <w:trPr>
          <w:trHeight w:val="432"/>
        </w:trPr>
        <w:tc>
          <w:tcPr>
            <w:tcW w:w="2970" w:type="dxa"/>
            <w:vAlign w:val="center"/>
          </w:tcPr>
          <w:p w14:paraId="1B136E34"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10%</w:t>
            </w:r>
          </w:p>
        </w:tc>
        <w:tc>
          <w:tcPr>
            <w:tcW w:w="2700" w:type="dxa"/>
            <w:vAlign w:val="center"/>
          </w:tcPr>
          <w:p w14:paraId="537782C0"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2</w:t>
            </w:r>
          </w:p>
        </w:tc>
      </w:tr>
    </w:tbl>
    <w:p w14:paraId="67D177F8" w14:textId="77777777" w:rsidR="00076070" w:rsidRPr="00076070" w:rsidRDefault="00076070" w:rsidP="00076070">
      <w:pPr>
        <w:spacing w:line="300" w:lineRule="auto"/>
        <w:rPr>
          <w:sz w:val="24"/>
          <w:szCs w:val="24"/>
        </w:rPr>
      </w:pPr>
      <w:r>
        <w:rPr>
          <w:sz w:val="24"/>
          <w:szCs w:val="24"/>
        </w:rPr>
        <w:tab/>
      </w:r>
      <w:r>
        <w:rPr>
          <w:sz w:val="24"/>
          <w:szCs w:val="24"/>
        </w:rPr>
        <w:tab/>
      </w:r>
    </w:p>
    <w:p w14:paraId="7442BA9D" w14:textId="41F4CFB7" w:rsidR="00970739" w:rsidRPr="00076070" w:rsidRDefault="00970739" w:rsidP="00076070">
      <w:pPr>
        <w:spacing w:line="300" w:lineRule="auto"/>
        <w:rPr>
          <w:sz w:val="24"/>
          <w:szCs w:val="24"/>
        </w:rPr>
      </w:pPr>
      <w:bookmarkStart w:id="0" w:name="_GoBack"/>
      <w:bookmarkEnd w:id="0"/>
    </w:p>
    <w:p w14:paraId="4BBC6B0E" w14:textId="50FA7FE5" w:rsidR="00030A49" w:rsidRDefault="00030A49" w:rsidP="00970739">
      <w:pPr>
        <w:spacing w:line="300" w:lineRule="auto"/>
        <w:ind w:left="900" w:firstLine="720"/>
        <w:jc w:val="both"/>
        <w:rPr>
          <w:rFonts w:ascii="Libre Franklin" w:hAnsi="Libre Franklin"/>
          <w:sz w:val="24"/>
          <w:szCs w:val="24"/>
        </w:rPr>
      </w:pPr>
    </w:p>
    <w:p w14:paraId="18676C5B" w14:textId="77777777" w:rsidR="000C1EFD" w:rsidRDefault="000C1EFD" w:rsidP="000C1EFD">
      <w:pPr>
        <w:spacing w:line="300" w:lineRule="auto"/>
        <w:ind w:left="1620" w:hanging="720"/>
        <w:jc w:val="both"/>
        <w:rPr>
          <w:rFonts w:ascii="Libre Franklin" w:hAnsi="Libre Franklin"/>
          <w:sz w:val="24"/>
          <w:szCs w:val="24"/>
        </w:rPr>
      </w:pPr>
    </w:p>
    <w:p w14:paraId="3FCA599A" w14:textId="786D2E8D" w:rsidR="000C1EFD" w:rsidRDefault="000C1EFD" w:rsidP="000C1EFD">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v4</w:t>
      </w:r>
    </w:p>
    <w:p w14:paraId="50DC2F01" w14:textId="108BF560" w:rsidR="000C1EFD" w:rsidRDefault="000C1EFD" w:rsidP="000C1EFD">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Demonstrate reduced environmental effects during initial project decision-making by reusing existing building resources or demonstrating a reduction in materials use through life-cycle assessment.  Option 3 – Reuse or salvage building materials from off site or on site as a percentage of the surface area, as listed in the table below.  Include structural elements (e.g., floors, roof decking). Enclosure materials (e.g., skin, framing)</w:t>
      </w:r>
      <w:proofErr w:type="gramStart"/>
      <w:r>
        <w:rPr>
          <w:rFonts w:ascii="Libre Franklin" w:hAnsi="Libre Franklin"/>
          <w:sz w:val="24"/>
          <w:szCs w:val="24"/>
        </w:rPr>
        <w:t>,  and</w:t>
      </w:r>
      <w:proofErr w:type="gramEnd"/>
      <w:r>
        <w:rPr>
          <w:rFonts w:ascii="Libre Franklin" w:hAnsi="Libre Franklin"/>
          <w:sz w:val="24"/>
          <w:szCs w:val="24"/>
        </w:rPr>
        <w:t xml:space="preserve"> permanently installed interior elements (e.g., walls, doors, floor coverings, ceiling systems).  Exclude from the calculation wind assemblies and any hazardous materials that are remediated as part of the project.  Materials contributing toward this credit may not contribute toward MR Credit Building Product Disclosure and Optimization – Sourcing of Raw Materials.</w:t>
      </w:r>
    </w:p>
    <w:tbl>
      <w:tblPr>
        <w:tblStyle w:val="TableGrid"/>
        <w:tblpPr w:leftFromText="180" w:rightFromText="180" w:vertAnchor="text" w:horzAnchor="page" w:tblpX="1738" w:tblpY="111"/>
        <w:tblW w:w="0" w:type="auto"/>
        <w:tblLook w:val="04A0" w:firstRow="1" w:lastRow="0" w:firstColumn="1" w:lastColumn="0" w:noHBand="0" w:noVBand="1"/>
      </w:tblPr>
      <w:tblGrid>
        <w:gridCol w:w="4518"/>
        <w:gridCol w:w="2790"/>
      </w:tblGrid>
      <w:tr w:rsidR="000C1EFD" w14:paraId="42DD6F35" w14:textId="77777777" w:rsidTr="00257FCB">
        <w:trPr>
          <w:trHeight w:val="432"/>
        </w:trPr>
        <w:tc>
          <w:tcPr>
            <w:tcW w:w="4518" w:type="dxa"/>
            <w:shd w:val="clear" w:color="auto" w:fill="73A238"/>
            <w:vAlign w:val="center"/>
          </w:tcPr>
          <w:p w14:paraId="43427EC9" w14:textId="605E6428"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Percentage of Completed Project Surface Area Reused</w:t>
            </w:r>
          </w:p>
        </w:tc>
        <w:tc>
          <w:tcPr>
            <w:tcW w:w="2790" w:type="dxa"/>
            <w:shd w:val="clear" w:color="auto" w:fill="73A238"/>
            <w:vAlign w:val="center"/>
          </w:tcPr>
          <w:p w14:paraId="6906BF15" w14:textId="20353956" w:rsidR="000C1EFD" w:rsidRPr="00076070" w:rsidRDefault="000C1EFD" w:rsidP="000C1EFD">
            <w:pPr>
              <w:spacing w:line="300" w:lineRule="auto"/>
              <w:rPr>
                <w:rFonts w:ascii="Libre Franklin" w:hAnsi="Libre Franklin"/>
                <w:sz w:val="24"/>
                <w:szCs w:val="24"/>
              </w:rPr>
            </w:pPr>
            <w:r w:rsidRPr="00076070">
              <w:rPr>
                <w:rFonts w:ascii="Libre Franklin" w:hAnsi="Libre Franklin"/>
                <w:sz w:val="24"/>
                <w:szCs w:val="24"/>
              </w:rPr>
              <w:t>Points</w:t>
            </w:r>
            <w:r>
              <w:rPr>
                <w:rFonts w:ascii="Libre Franklin" w:hAnsi="Libre Franklin"/>
                <w:sz w:val="24"/>
                <w:szCs w:val="24"/>
              </w:rPr>
              <w:t xml:space="preserve"> BD&amp;C</w:t>
            </w:r>
          </w:p>
        </w:tc>
      </w:tr>
      <w:tr w:rsidR="000C1EFD" w14:paraId="13032A6B" w14:textId="77777777" w:rsidTr="000C1EFD">
        <w:trPr>
          <w:trHeight w:val="432"/>
        </w:trPr>
        <w:tc>
          <w:tcPr>
            <w:tcW w:w="4518" w:type="dxa"/>
            <w:vAlign w:val="center"/>
          </w:tcPr>
          <w:p w14:paraId="44001148" w14:textId="34E553D0"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2</w:t>
            </w:r>
            <w:r w:rsidRPr="00076070">
              <w:rPr>
                <w:rFonts w:ascii="Libre Franklin" w:hAnsi="Libre Franklin"/>
                <w:sz w:val="24"/>
                <w:szCs w:val="24"/>
              </w:rPr>
              <w:t>5%</w:t>
            </w:r>
          </w:p>
        </w:tc>
        <w:tc>
          <w:tcPr>
            <w:tcW w:w="2790" w:type="dxa"/>
            <w:vAlign w:val="center"/>
          </w:tcPr>
          <w:p w14:paraId="51A3C681" w14:textId="73726851"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2</w:t>
            </w:r>
          </w:p>
        </w:tc>
      </w:tr>
      <w:tr w:rsidR="000C1EFD" w14:paraId="1792C03A" w14:textId="77777777" w:rsidTr="000C1EFD">
        <w:trPr>
          <w:trHeight w:val="432"/>
        </w:trPr>
        <w:tc>
          <w:tcPr>
            <w:tcW w:w="4518" w:type="dxa"/>
            <w:vAlign w:val="center"/>
          </w:tcPr>
          <w:p w14:paraId="7B7EFF64" w14:textId="42C08489"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5</w:t>
            </w:r>
            <w:r w:rsidRPr="00076070">
              <w:rPr>
                <w:rFonts w:ascii="Libre Franklin" w:hAnsi="Libre Franklin"/>
                <w:sz w:val="24"/>
                <w:szCs w:val="24"/>
              </w:rPr>
              <w:t>0%</w:t>
            </w:r>
          </w:p>
        </w:tc>
        <w:tc>
          <w:tcPr>
            <w:tcW w:w="2790" w:type="dxa"/>
            <w:vAlign w:val="center"/>
          </w:tcPr>
          <w:p w14:paraId="5218AC31" w14:textId="246B262C"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3</w:t>
            </w:r>
          </w:p>
        </w:tc>
      </w:tr>
      <w:tr w:rsidR="000C1EFD" w14:paraId="227A6086" w14:textId="77777777" w:rsidTr="000C1EFD">
        <w:trPr>
          <w:trHeight w:val="432"/>
        </w:trPr>
        <w:tc>
          <w:tcPr>
            <w:tcW w:w="4518" w:type="dxa"/>
            <w:vAlign w:val="center"/>
          </w:tcPr>
          <w:p w14:paraId="63CC722A" w14:textId="6EA94C17"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75%</w:t>
            </w:r>
          </w:p>
        </w:tc>
        <w:tc>
          <w:tcPr>
            <w:tcW w:w="2790" w:type="dxa"/>
            <w:vAlign w:val="center"/>
          </w:tcPr>
          <w:p w14:paraId="354490F9" w14:textId="3DA42B85" w:rsidR="000C1EFD" w:rsidRPr="00076070" w:rsidRDefault="000C1EFD" w:rsidP="000C1EFD">
            <w:pPr>
              <w:spacing w:line="300" w:lineRule="auto"/>
              <w:rPr>
                <w:rFonts w:ascii="Libre Franklin" w:hAnsi="Libre Franklin"/>
                <w:sz w:val="24"/>
                <w:szCs w:val="24"/>
              </w:rPr>
            </w:pPr>
            <w:r>
              <w:rPr>
                <w:rFonts w:ascii="Libre Franklin" w:hAnsi="Libre Franklin"/>
                <w:sz w:val="24"/>
                <w:szCs w:val="24"/>
              </w:rPr>
              <w:t>4</w:t>
            </w:r>
          </w:p>
        </w:tc>
      </w:tr>
    </w:tbl>
    <w:p w14:paraId="79A4BBED" w14:textId="77777777" w:rsidR="000C1EFD" w:rsidRPr="00970739" w:rsidRDefault="000C1EFD" w:rsidP="000C1EFD">
      <w:pPr>
        <w:spacing w:line="300" w:lineRule="auto"/>
        <w:ind w:left="1620" w:hanging="720"/>
        <w:jc w:val="both"/>
        <w:rPr>
          <w:rFonts w:ascii="Libre Franklin" w:hAnsi="Libre Franklin"/>
          <w:sz w:val="24"/>
          <w:szCs w:val="24"/>
        </w:rPr>
      </w:pPr>
    </w:p>
    <w:sectPr w:rsidR="000C1EFD" w:rsidRPr="00970739" w:rsidSect="00030A49">
      <w:headerReference w:type="default" r:id="rId9"/>
      <w:footerReference w:type="even" r:id="rId10"/>
      <w:footerReference w:type="default" r:id="rId11"/>
      <w:pgSz w:w="12240" w:h="15840"/>
      <w:pgMar w:top="720" w:right="72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257FCB" w:rsidRDefault="00257FCB" w:rsidP="00155D32">
      <w:pPr>
        <w:spacing w:after="0" w:line="240" w:lineRule="auto"/>
      </w:pPr>
      <w:r>
        <w:separator/>
      </w:r>
    </w:p>
  </w:endnote>
  <w:endnote w:type="continuationSeparator" w:id="0">
    <w:p w14:paraId="08C5FBE7" w14:textId="77777777" w:rsidR="00257FCB" w:rsidRDefault="00257FCB"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257FCB" w:rsidRDefault="00257FCB">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257FCB" w:rsidRDefault="00257FCB">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257FCB" w:rsidRDefault="00257FCB" w:rsidP="00155D32">
      <w:pPr>
        <w:spacing w:after="0" w:line="240" w:lineRule="auto"/>
      </w:pPr>
      <w:r>
        <w:separator/>
      </w:r>
    </w:p>
  </w:footnote>
  <w:footnote w:type="continuationSeparator" w:id="0">
    <w:p w14:paraId="45FAD81C" w14:textId="77777777" w:rsidR="00257FCB" w:rsidRDefault="00257FCB"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672C0A15" w:rsidR="00257FCB" w:rsidRPr="00030A49" w:rsidRDefault="00257FCB"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26BDEFD9">
          <wp:simplePos x="0" y="0"/>
          <wp:positionH relativeFrom="margin">
            <wp:posOffset>6438265</wp:posOffset>
          </wp:positionH>
          <wp:positionV relativeFrom="margin">
            <wp:posOffset>-742702</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Materials Reuse</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57082"/>
    <w:rsid w:val="00076070"/>
    <w:rsid w:val="000C1EFD"/>
    <w:rsid w:val="000D7F49"/>
    <w:rsid w:val="000E049C"/>
    <w:rsid w:val="001025B5"/>
    <w:rsid w:val="00125E9D"/>
    <w:rsid w:val="001324BC"/>
    <w:rsid w:val="001338DE"/>
    <w:rsid w:val="00155D32"/>
    <w:rsid w:val="00163DCE"/>
    <w:rsid w:val="0018539C"/>
    <w:rsid w:val="00185EA8"/>
    <w:rsid w:val="001F0843"/>
    <w:rsid w:val="00205530"/>
    <w:rsid w:val="002454BA"/>
    <w:rsid w:val="00252D25"/>
    <w:rsid w:val="00257FCB"/>
    <w:rsid w:val="00273531"/>
    <w:rsid w:val="002E5649"/>
    <w:rsid w:val="002F3933"/>
    <w:rsid w:val="00302EF6"/>
    <w:rsid w:val="00333453"/>
    <w:rsid w:val="00367E7F"/>
    <w:rsid w:val="003B6EA6"/>
    <w:rsid w:val="00400539"/>
    <w:rsid w:val="00404E46"/>
    <w:rsid w:val="00445463"/>
    <w:rsid w:val="00463200"/>
    <w:rsid w:val="004653FB"/>
    <w:rsid w:val="004759B5"/>
    <w:rsid w:val="00482C38"/>
    <w:rsid w:val="00496F8B"/>
    <w:rsid w:val="004A00F1"/>
    <w:rsid w:val="004D15CA"/>
    <w:rsid w:val="004D3DF0"/>
    <w:rsid w:val="004E1AF3"/>
    <w:rsid w:val="004F0655"/>
    <w:rsid w:val="004F2EEA"/>
    <w:rsid w:val="005125BF"/>
    <w:rsid w:val="0055693A"/>
    <w:rsid w:val="00572513"/>
    <w:rsid w:val="0059073F"/>
    <w:rsid w:val="005A1041"/>
    <w:rsid w:val="005B5677"/>
    <w:rsid w:val="005E5E2D"/>
    <w:rsid w:val="00604ACB"/>
    <w:rsid w:val="00626708"/>
    <w:rsid w:val="00665558"/>
    <w:rsid w:val="00666184"/>
    <w:rsid w:val="00670B15"/>
    <w:rsid w:val="006D04B9"/>
    <w:rsid w:val="006D7A0F"/>
    <w:rsid w:val="00711DCA"/>
    <w:rsid w:val="007267FB"/>
    <w:rsid w:val="00730678"/>
    <w:rsid w:val="0073389A"/>
    <w:rsid w:val="00736869"/>
    <w:rsid w:val="0073704A"/>
    <w:rsid w:val="007673E9"/>
    <w:rsid w:val="00781B25"/>
    <w:rsid w:val="007B245C"/>
    <w:rsid w:val="007B3C6C"/>
    <w:rsid w:val="007D49DA"/>
    <w:rsid w:val="00806351"/>
    <w:rsid w:val="00816878"/>
    <w:rsid w:val="00860804"/>
    <w:rsid w:val="00887EFE"/>
    <w:rsid w:val="008D262C"/>
    <w:rsid w:val="008E0AC0"/>
    <w:rsid w:val="0090778E"/>
    <w:rsid w:val="00916F66"/>
    <w:rsid w:val="0093306F"/>
    <w:rsid w:val="00970739"/>
    <w:rsid w:val="00981625"/>
    <w:rsid w:val="00985F67"/>
    <w:rsid w:val="009C1789"/>
    <w:rsid w:val="00A06806"/>
    <w:rsid w:val="00A06BC1"/>
    <w:rsid w:val="00A21FC2"/>
    <w:rsid w:val="00A52728"/>
    <w:rsid w:val="00A55CC6"/>
    <w:rsid w:val="00A7405E"/>
    <w:rsid w:val="00A86924"/>
    <w:rsid w:val="00A95EAB"/>
    <w:rsid w:val="00AD4924"/>
    <w:rsid w:val="00B45DF4"/>
    <w:rsid w:val="00B67C43"/>
    <w:rsid w:val="00B73B22"/>
    <w:rsid w:val="00BD5FEB"/>
    <w:rsid w:val="00BF14C7"/>
    <w:rsid w:val="00C02925"/>
    <w:rsid w:val="00C06A86"/>
    <w:rsid w:val="00C1353F"/>
    <w:rsid w:val="00C416C4"/>
    <w:rsid w:val="00CB1159"/>
    <w:rsid w:val="00CB78EB"/>
    <w:rsid w:val="00CD2579"/>
    <w:rsid w:val="00CD3021"/>
    <w:rsid w:val="00CE7F6A"/>
    <w:rsid w:val="00CF1B1B"/>
    <w:rsid w:val="00D470A0"/>
    <w:rsid w:val="00D47545"/>
    <w:rsid w:val="00D6134B"/>
    <w:rsid w:val="00D70AFD"/>
    <w:rsid w:val="00D76CB7"/>
    <w:rsid w:val="00D7786F"/>
    <w:rsid w:val="00D928D6"/>
    <w:rsid w:val="00DD6B23"/>
    <w:rsid w:val="00DF0A35"/>
    <w:rsid w:val="00E151BF"/>
    <w:rsid w:val="00E264FF"/>
    <w:rsid w:val="00E33D09"/>
    <w:rsid w:val="00EC7439"/>
    <w:rsid w:val="00F224CF"/>
    <w:rsid w:val="00F41714"/>
    <w:rsid w:val="00F53DB6"/>
    <w:rsid w:val="00F9713F"/>
    <w:rsid w:val="00FC6C60"/>
    <w:rsid w:val="00FD1F7B"/>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9C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3858-56F4-6944-B979-ABC911FB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2</cp:revision>
  <cp:lastPrinted>2017-07-10T12:29:00Z</cp:lastPrinted>
  <dcterms:created xsi:type="dcterms:W3CDTF">2017-07-12T12:00:00Z</dcterms:created>
  <dcterms:modified xsi:type="dcterms:W3CDTF">2017-07-12T12:00:00Z</dcterms:modified>
</cp:coreProperties>
</file>